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nilgejnmey</w:t>
      </w:r>
    </w:p>
    <w:p>
      <w:pPr>
        <w:pStyle w:val="FirstParagraph"/>
      </w:pPr>
      <w:r>
        <w:t xml:space="preserve">carboncalcpcf.com</w:t>
      </w:r>
    </w:p>
    <w:bookmarkStart w:id="21" w:name="product-carbon-footprint-report"/>
    <w:p>
      <w:pPr>
        <w:pStyle w:val="Heading1"/>
      </w:pPr>
      <w:r>
        <w:t xml:space="preserve">Product Carbon Footprint Report</w:t>
      </w:r>
    </w:p>
    <w:bookmarkStart w:id="20" w:name="for-product-nilgejnmey"/>
    <w:p>
      <w:pPr>
        <w:pStyle w:val="Heading2"/>
      </w:pPr>
      <w:r>
        <w:t xml:space="preserve">For Product: nilgejnmey</w:t>
      </w:r>
    </w:p>
    <w:p>
      <w:pPr>
        <w:pStyle w:val="FirstParagraph"/>
      </w:pPr>
      <w:r>
        <w:rPr>
          <w:bCs/>
          <w:b/>
        </w:rPr>
        <w:t xml:space="preserve">Company Name:</w:t>
      </w:r>
      <w:r>
        <w:t xml:space="preserve"> </w:t>
      </w:r>
      <w:r>
        <w:t xml:space="preserve">rowxliqwpl</w:t>
      </w:r>
    </w:p>
    <w:p>
      <w:pPr>
        <w:pStyle w:val="BodyText"/>
      </w:pPr>
      <w:r>
        <w:rPr>
          <w:bCs/>
          <w:b/>
        </w:rPr>
        <w:t xml:space="preserve">Senior Sustainability Consultant:</w:t>
      </w:r>
      <w:r>
        <w:t xml:space="preserve"> </w:t>
      </w:r>
      <w:r>
        <w:t xml:space="preserve">kmjztqvxfl</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incorporating specific parameters provided. All calculations involve assumptions based on generic or representative emission factors where primary data was not directly provided, as outlined within the report.</w:t>
      </w:r>
    </w:p>
    <w:bookmarkEnd w:id="20"/>
    <w:bookmarkEnd w:id="21"/>
    <w:bookmarkStart w:id="22" w:name="X99882042d4f350a025ad309d38e5c7cf8404150"/>
    <w:p>
      <w:pPr>
        <w:pStyle w:val="Heading1"/>
      </w:pPr>
      <w:r>
        <w:t xml:space="preserve">Product Carbon Footprint Analysis: nilgejnmey</w:t>
      </w:r>
    </w:p>
    <w:p>
      <w:pPr>
        <w:pStyle w:val="FirstParagraph"/>
      </w:pPr>
      <w:r>
        <w:rPr>
          <w:bCs/>
          <w:b/>
        </w:rPr>
        <w:t xml:space="preserve">Generated Date:</w:t>
      </w:r>
      <w:r>
        <w:t xml:space="preserve"> </w:t>
      </w:r>
      <w:r>
        <w:t xml:space="preserve">May 28, 2026</w:t>
      </w:r>
    </w:p>
    <w:p>
      <w:r>
        <w:pict>
          <v:rect style="width:0;height:1.5pt" o:hralign="center" o:hrstd="t" o:hr="t"/>
        </w:pict>
      </w:r>
    </w:p>
    <w:bookmarkEnd w:id="22"/>
    <w:p>
      <w:pPr>
        <w:pStyle w:val="FirstParagraph"/>
      </w:pPr>
      <w:r>
        <w:t xml:space="preserve">This high-detail Product Carbon Footprint (PCF) analysis has been performed by kmjztqvxfl, a Senior Sustainability Consultant specializing in GHG Protocol, for rowxliqwpl\'s product, nilgejnmey. The assessment quantifies the greenhouse gas (GHG) emissions across the product\'s lifecycle, adhering to the GHG Protocol\'s standards and incorporating the latest 2026 updates, including the Land Sector and Removals (LSR) Standard and stringent Scope 3 compliance requirements. The goal is to identify key emission hotspots and provide a robust foundation for decarbonization strategies.</w:t>
      </w:r>
    </w:p>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the Product Carbon Footprint for nilgejnmey, manufactured by rowxliqwpl. The analysis covers the lifecycle stages from raw material extraction to end-of-life, with a system boundary set at \'factory_gate\' for initial production. Emissions are categorized into Scope 1, Scope 2, and Scope 3 as per the GHG Protocol. Our findings highlight that upstream material acquisition and manufacturing energy consumption are significant contributors to the overall footprint. The report provides a detailed breakdown of emissions across the lifecycle and offers insights for reduction, emphasizing data quality and compliance with evolving reporting standards.</w:t>
      </w:r>
    </w:p>
    <w:p>
      <w:r>
        <w:pict>
          <v:rect style="width:0;height:1.5pt" o:hralign="center" o:hrstd="t" o:hr="t"/>
        </w:pict>
      </w:r>
    </w:p>
    <w:bookmarkEnd w:id="23"/>
    <w:bookmarkStart w:id="30" w:name="methodology-and-scope-definition"/>
    <w:p>
      <w:pPr>
        <w:pStyle w:val="Heading2"/>
      </w:pPr>
      <w:r>
        <w:t xml:space="preserve">1. Methodology and Scope Definition</w:t>
      </w:r>
    </w:p>
    <w:p>
      <w:pPr>
        <w:pStyle w:val="FirstParagraph"/>
      </w:pPr>
      <w:r>
        <w:t xml:space="preserve">This PCF analysis is conducted in accordance with the GHG Protocol Product Standard, leveraging its robust framework for quantifying lifecycle GHG emissions. The methodology follows five key steps:</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Detail all relevant lifecycle inventory stages.</w:t>
      </w:r>
    </w:p>
    <w:p>
      <w:pPr>
        <w:numPr>
          <w:ilvl w:val="0"/>
          <w:numId w:val="1001"/>
        </w:numPr>
        <w:pStyle w:val="Compact"/>
      </w:pPr>
      <w:r>
        <w:rPr>
          <w:bCs/>
          <w:b/>
        </w:rPr>
        <w:t xml:space="preserve">Collect Data:</w:t>
      </w:r>
      <w:r>
        <w:t xml:space="preserve"> </w:t>
      </w:r>
      <w:r>
        <w:t xml:space="preserve">Gather primary and secondary data points for each stage.</w:t>
      </w:r>
    </w:p>
    <w:p>
      <w:pPr>
        <w:numPr>
          <w:ilvl w:val="0"/>
          <w:numId w:val="1001"/>
        </w:numPr>
        <w:pStyle w:val="Compact"/>
      </w:pPr>
      <w:r>
        <w:rPr>
          <w:bCs/>
          <w:b/>
        </w:rPr>
        <w:t xml:space="preserve">Calculate Emissions:</w:t>
      </w:r>
      <w:r>
        <w:t xml:space="preserve"> </w:t>
      </w:r>
      <w:r>
        <w:t xml:space="preserve">Quantify emissions using activity data multiplied by appropriate emission factors.</w:t>
      </w:r>
    </w:p>
    <w:p>
      <w:pPr>
        <w:numPr>
          <w:ilvl w:val="0"/>
          <w:numId w:val="1001"/>
        </w:numPr>
        <w:pStyle w:val="Compact"/>
      </w:pPr>
      <w:r>
        <w:rPr>
          <w:bCs/>
          <w:b/>
        </w:rPr>
        <w:t xml:space="preserve">Review &amp; Report:</w:t>
      </w:r>
      <w:r>
        <w:t xml:space="preserve"> </w:t>
      </w:r>
      <w:r>
        <w:t xml:space="preserve">Identify hotspots, assess data reliability, and present findings.</w:t>
      </w:r>
    </w:p>
    <w:bookmarkStart w:id="24" w:name="functional-unit"/>
    <w:p>
      <w:pPr>
        <w:pStyle w:val="Heading3"/>
      </w:pPr>
      <w:r>
        <w:t xml:space="preserve">1.1 Functional Unit</w:t>
      </w:r>
    </w:p>
    <w:p>
      <w:pPr>
        <w:numPr>
          <w:ilvl w:val="0"/>
          <w:numId w:val="1002"/>
        </w:numPr>
        <w:pStyle w:val="Compact"/>
      </w:pPr>
      <w:r>
        <w:rPr>
          <w:bCs/>
          <w:b/>
        </w:rPr>
        <w:t xml:space="preserve">Functional Unit:</w:t>
      </w:r>
      <w:r>
        <w:t xml:space="preserve"> </w:t>
      </w:r>
      <w:r>
        <w:t xml:space="preserve">1.0 unit of nilgejnmey.</w:t>
      </w:r>
    </w:p>
    <w:bookmarkEnd w:id="24"/>
    <w:bookmarkStart w:id="25" w:name="system-boundary"/>
    <w:p>
      <w:pPr>
        <w:pStyle w:val="Heading3"/>
      </w:pPr>
      <w:r>
        <w:t xml:space="preserve">1.2 System Boundary</w:t>
      </w:r>
    </w:p>
    <w:p>
      <w:pPr>
        <w:numPr>
          <w:ilvl w:val="0"/>
          <w:numId w:val="1003"/>
        </w:numPr>
        <w:pStyle w:val="Compact"/>
      </w:pPr>
      <w:r>
        <w:rPr>
          <w:bCs/>
          <w:b/>
        </w:rPr>
        <w:t xml:space="preserve">System Boundary:</w:t>
      </w:r>
      <w:r>
        <w:t xml:space="preserve"> </w:t>
      </w:r>
      <w:r>
        <w:t xml:space="preserve">factory_gate. This boundary includes all upstream processes (raw material extraction, processing, and transportation to the factory) and the manufacturing processes up to the point the product leaves the factory gate. Downstream impacts such as transportation to the consumer, use phase, and end-of-life are also included as per the product standard.</w:t>
      </w:r>
    </w:p>
    <w:bookmarkEnd w:id="25"/>
    <w:bookmarkStart w:id="26" w:name="geographic-scope"/>
    <w:p>
      <w:pPr>
        <w:pStyle w:val="Heading3"/>
      </w:pPr>
      <w:r>
        <w:t xml:space="preserve">1.3 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 This implies a significant portion of upstream material sourcing and/or component manufacturing occurs within Europe before final assembly in China.</w:t>
      </w:r>
    </w:p>
    <w:bookmarkEnd w:id="26"/>
    <w:bookmarkStart w:id="27" w:name="X9354f6d6a3ddd6dcbbe8c160f9dc07417018ee6"/>
    <w:p>
      <w:pPr>
        <w:pStyle w:val="Heading3"/>
      </w:pPr>
      <w:r>
        <w:t xml:space="preserve">1.4 Accounting Standard and GHG Categorization</w:t>
      </w:r>
    </w:p>
    <w:p>
      <w:pPr>
        <w:pStyle w:val="FirstParagraph"/>
      </w:pPr>
      <w:r>
        <w:t xml:space="preserve">The analysis strictly adheres to the</w:t>
      </w:r>
      <w:r>
        <w:t xml:space="preserve"> </w:t>
      </w:r>
      <w:r>
        <w:rPr>
          <w:bCs/>
          <w:b/>
        </w:rPr>
        <w:t xml:space="preserve">GHG Protocol</w:t>
      </w:r>
      <w:r>
        <w:t xml:space="preserve">. Emissions are categorized as follows:</w:t>
      </w:r>
    </w:p>
    <w:p>
      <w:pPr>
        <w:numPr>
          <w:ilvl w:val="0"/>
          <w:numId w:val="1005"/>
        </w:numPr>
        <w:pStyle w:val="Compact"/>
      </w:pPr>
      <w:r>
        <w:rPr>
          <w:bCs/>
          <w:b/>
        </w:rPr>
        <w:t xml:space="preserve">Scope 1 (Direct Emissions):</w:t>
      </w:r>
      <w:r>
        <w:t xml:space="preserve"> </w:t>
      </w:r>
      <w:r>
        <w:t xml:space="preserve">GHG emissions from sources owned or controlled by rowxliqwpl within the factory gate, such as on-site combustion of fuels (if applicable) or process emissions. For a product-level analysis with a \'factory_gate\' boundary, direct operational emissions from product manufacturing are generally covered here.</w:t>
      </w:r>
    </w:p>
    <w:p>
      <w:pPr>
        <w:numPr>
          <w:ilvl w:val="0"/>
          <w:numId w:val="1005"/>
        </w:numPr>
        <w:pStyle w:val="Compact"/>
      </w:pPr>
      <w:r>
        <w:rPr>
          <w:bCs/>
          <w:b/>
        </w:rPr>
        <w:t xml:space="preserve">Scope 2 (Energy Indirect Emissions):</w:t>
      </w:r>
      <w:r>
        <w:t xml:space="preserve"> </w:t>
      </w:r>
      <w:r>
        <w:t xml:space="preserve">GHG emissions from the generation of purchased or acquired electricity, steam, heat, or cooling consumed by rowxliqwpl at the manufacturing facility.</w:t>
      </w:r>
    </w:p>
    <w:p>
      <w:pPr>
        <w:numPr>
          <w:ilvl w:val="0"/>
          <w:numId w:val="1005"/>
        </w:numPr>
        <w:pStyle w:val="Compact"/>
      </w:pPr>
      <w:r>
        <w:rPr>
          <w:bCs/>
          <w:b/>
        </w:rPr>
        <w:t xml:space="preserve">Scope 3 (Other Indirect Emissions):</w:t>
      </w:r>
      <w:r>
        <w:t xml:space="preserve"> </w:t>
      </w:r>
      <w:r>
        <w:t xml:space="preserve">All other indirect emissions that occur in the value chain of rowxliqwpl, both upstream and downstream. This includes emissions from purchased goods and services (materials), upstream and downstream transportation, use of sold products, and end-of-life treatment of sold products.</w:t>
      </w:r>
    </w:p>
    <w:bookmarkEnd w:id="27"/>
    <w:bookmarkStart w:id="28" w:name="land-sector-and-removals-lsr-update"/>
    <w:p>
      <w:pPr>
        <w:pStyle w:val="Heading3"/>
      </w:pPr>
      <w:r>
        <w:t xml:space="preserve">1.5 2026 Land Sector and Removals (LSR) Update</w:t>
      </w:r>
    </w:p>
    <w:p>
      <w:pPr>
        <w:pStyle w:val="FirstParagraph"/>
      </w:pPr>
      <w:r>
        <w:t xml:space="preserve">The GHG Protocol\'s Land Sector and Removals (LSR) Standard, released on January 30, 2026, and effective January 1, 2027, provides requirements and guidance for corporate GHG accounting covering emissions and carbon removals from agricultural and land use activities. While nilgejnmey as a finished product may not directly fall under significant land-based activities, any upstream raw materials (e.g., bio-based plastics, natural fibers) with land-use impacts within its value chain would be subject to the LSR Standard. This report acknowledges the standard and assumes that any relevant upstream land-use emissions would be accounted for by the respective suppliers, contributing to the product\'s Scope 3 emissions.</w:t>
      </w:r>
    </w:p>
    <w:bookmarkEnd w:id="28"/>
    <w:bookmarkStart w:id="29" w:name="scope-3-compliance-2026-requirements"/>
    <w:p>
      <w:pPr>
        <w:pStyle w:val="Heading3"/>
      </w:pPr>
      <w:r>
        <w:t xml:space="preserve">1.6 Scope 3 Compliance (2026 Requirements)</w:t>
      </w:r>
    </w:p>
    <w:p>
      <w:pPr>
        <w:pStyle w:val="FirstParagraph"/>
      </w:pPr>
      <w:r>
        <w:t xml:space="preserve">As per the 2026 requirements, companies must account for at least 95% of total relevant Scope 3 emissions to claim conformance. The GHG Protocol is moving towards a financial-grade, auditable system, mandating data disaggregation by source type (primary vs. secondary) to improve transparency and data quality. This analysis aims for comprehensive Scope 3 coverage, using detailed BOM and logistics data. For full compliance in a live scenario, rowxliqwpl would need to engage deeply with its supply chain to gather primary, activity-based data to meet the 95% threshold and disaggregation requirements.</w:t>
      </w:r>
    </w:p>
    <w:p>
      <w:r>
        <w:pict>
          <v:rect style="width:0;height:1.5pt" o:hralign="center" o:hrstd="t" o:hr="t"/>
        </w:pict>
      </w:r>
    </w:p>
    <w:bookmarkEnd w:id="29"/>
    <w:bookmarkEnd w:id="30"/>
    <w:bookmarkStart w:id="36" w:name="lifecycle-mapping-and-data-collection"/>
    <w:p>
      <w:pPr>
        <w:pStyle w:val="Heading2"/>
      </w:pPr>
      <w:r>
        <w:t xml:space="preserve">2. Lifecycle Mapping and Data Collection</w:t>
      </w:r>
    </w:p>
    <w:bookmarkStart w:id="31" w:name="X76ca91dc159969bad46b917183b019e0c31b539"/>
    <w:p>
      <w:pPr>
        <w:pStyle w:val="Heading3"/>
      </w:pPr>
      <w:r>
        <w:t xml:space="preserve">2.1 Detailed Bill of Materials (BOM) for nilgejnmey</w:t>
      </w:r>
    </w:p>
    <w:p>
      <w:pPr>
        <w:pStyle w:val="FirstParagraph"/>
      </w:pPr>
      <w:r>
        <w:t xml:space="preserve">The provided Detailed Bill of Materials (xnpphgqw) is crucial for a high-accuracy material impact calculation. The following table illustrates a sample BOM structure based on the format provided, with representative data used for calculation. In a real-world scenario, \'Emission Factor\' and \'Total Carbon\' would be derived from specific supplier data or robust secondary databases (e.g., Ecoinvent, GaBi).</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3.50</w:t>
            </w:r>
          </w:p>
        </w:tc>
        <w:tc>
          <w:tcPr/>
          <w:p>
            <w:pPr>
              <w:pStyle w:val="Compact"/>
              <w:jc w:val="left"/>
            </w:pPr>
            <w:r>
              <w:t xml:space="preserve">1.75</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12.00</w:t>
            </w:r>
          </w:p>
        </w:tc>
        <w:tc>
          <w:tcPr/>
          <w:p>
            <w:pPr>
              <w:pStyle w:val="Compact"/>
              <w:jc w:val="left"/>
            </w:pPr>
            <w:r>
              <w:t xml:space="preserve">2.40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Cell 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20.00</w:t>
            </w:r>
          </w:p>
        </w:tc>
        <w:tc>
          <w:tcPr/>
          <w:p>
            <w:pPr>
              <w:pStyle w:val="Compact"/>
              <w:jc w:val="left"/>
            </w:pPr>
            <w:r>
              <w:t xml:space="preserve">2.00</w:t>
            </w:r>
          </w:p>
        </w:tc>
      </w:tr>
      <w:tr>
        <w:tc>
          <w:tcPr/>
          <w:p>
            <w:pPr>
              <w:pStyle w:val="Compact"/>
              <w:jc w:val="left"/>
            </w:pPr>
            <w:r>
              <w:t xml:space="preserve">M005</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5.00</w:t>
            </w:r>
          </w:p>
        </w:tc>
        <w:tc>
          <w:tcPr/>
          <w:p>
            <w:pPr>
              <w:pStyle w:val="Compact"/>
              <w:jc w:val="left"/>
            </w:pPr>
            <w:r>
              <w:t xml:space="preserve">0.25</w:t>
            </w:r>
          </w:p>
        </w:tc>
      </w:tr>
    </w:tbl>
    <w:p>
      <w:pPr>
        <w:pStyle w:val="BodyText"/>
      </w:pPr>
      <w:r>
        <w:rPr>
          <w:bCs/>
          <w:b/>
        </w:rPr>
        <w:t xml:space="preserve">Total Material Emissions (Scope 3, Category 1 - Purchased Goods and Services): 7.90 kgCO2e</w:t>
      </w:r>
    </w:p>
    <w:bookmarkEnd w:id="31"/>
    <w:bookmarkStart w:id="32" w:name="energy-inputs-manufacturing-phase"/>
    <w:p>
      <w:pPr>
        <w:pStyle w:val="Heading3"/>
      </w:pPr>
      <w:r>
        <w:t xml:space="preserve">2.2 Energy Inputs (Manufacturing Phase)</w:t>
      </w:r>
    </w:p>
    <w:p>
      <w:pPr>
        <w:pStyle w:val="FirstParagraph"/>
      </w:pPr>
      <w:r>
        <w:t xml:space="preserve">Energy consumption during the manufacturing of nilgejnmey is a critical component of the product\'s footprint. The provided customization data is incorporated:</w:t>
      </w:r>
    </w:p>
    <w:p>
      <w:pPr>
        <w:numPr>
          <w:ilvl w:val="0"/>
          <w:numId w:val="1006"/>
        </w:numPr>
        <w:pStyle w:val="Compact"/>
      </w:pPr>
      <w:r>
        <w:rPr>
          <w:bCs/>
          <w:b/>
        </w:rPr>
        <w:t xml:space="preserve">Energy Intensity (kWh/unit):</w:t>
      </w:r>
      <w:r>
        <w:t xml:space="preserve"> </w:t>
      </w:r>
      <w:r>
        <w:t xml:space="preserve">lvknddmvmz (Assumed: 10 kWh/unit)</w:t>
      </w:r>
    </w:p>
    <w:p>
      <w:pPr>
        <w:numPr>
          <w:ilvl w:val="0"/>
          <w:numId w:val="1006"/>
        </w:numPr>
        <w:pStyle w:val="Compact"/>
      </w:pPr>
      <w:r>
        <w:rPr>
          <w:bCs/>
          <w:b/>
        </w:rPr>
        <w:t xml:space="preserve">Renewable Energy Usage:</w:t>
      </w:r>
      <w:r>
        <w:t xml:space="preserve"> </w:t>
      </w:r>
      <w:r>
        <w:t xml:space="preserve">stmkkwgsgw (Assumed: 50%)</w:t>
      </w:r>
    </w:p>
    <w:p>
      <w:pPr>
        <w:numPr>
          <w:ilvl w:val="0"/>
          <w:numId w:val="1006"/>
        </w:numPr>
        <w:pStyle w:val="Compact"/>
      </w:pPr>
      <w:r>
        <w:rPr>
          <w:bCs/>
          <w:b/>
        </w:rPr>
        <w:t xml:space="preserve">Final Production Country:</w:t>
      </w:r>
      <w:r>
        <w:t xml:space="preserve"> </w:t>
      </w:r>
      <w:r>
        <w:t xml:space="preserve">China. We will use a representative grid emission factor for China. The national average electricity carbon footprint factor in China was around 0.6205 kgCO2e/kWh in 2023.</w:t>
      </w:r>
    </w:p>
    <w:bookmarkEnd w:id="32"/>
    <w:bookmarkStart w:id="33" w:name="logistics-data-supply-chain-analysis"/>
    <w:p>
      <w:pPr>
        <w:pStyle w:val="Heading3"/>
      </w:pPr>
      <w:r>
        <w:t xml:space="preserve">2.3 Logistics Data (Supply Chain Analysis)</w:t>
      </w:r>
    </w:p>
    <w:p>
      <w:pPr>
        <w:pStyle w:val="FirstParagraph"/>
      </w:pPr>
      <w:r>
        <w:t xml:space="preserve">Transportation plays a significant role in upstream and downstream emissions. The provided logistics data is used:</w:t>
      </w:r>
    </w:p>
    <w:p>
      <w:pPr>
        <w:numPr>
          <w:ilvl w:val="0"/>
          <w:numId w:val="1007"/>
        </w:numPr>
        <w:pStyle w:val="Compact"/>
      </w:pPr>
      <w:r>
        <w:rPr>
          <w:bCs/>
          <w:b/>
        </w:rPr>
        <w:t xml:space="preserve">Main Transport Mode (Europe to China):</w:t>
      </w:r>
      <w:r>
        <w:t xml:space="preserve"> </w:t>
      </w:r>
      <w:r>
        <w:t xml:space="preserve">Select Mode (Assumed: Ocean Freight - Container Ship)</w:t>
      </w:r>
    </w:p>
    <w:p>
      <w:pPr>
        <w:numPr>
          <w:ilvl w:val="0"/>
          <w:numId w:val="1007"/>
        </w:numPr>
        <w:pStyle w:val="Compact"/>
      </w:pPr>
      <w:r>
        <w:rPr>
          <w:bCs/>
          <w:b/>
        </w:rPr>
        <w:t xml:space="preserve">Main Transport Distance:</w:t>
      </w:r>
      <w:r>
        <w:t xml:space="preserve"> </w:t>
      </w:r>
      <w:r>
        <w:t xml:space="preserve">spktrmuqng (Assumed: 15,000 km for intercontinental shipping)</w:t>
      </w:r>
    </w:p>
    <w:p>
      <w:pPr>
        <w:numPr>
          <w:ilvl w:val="0"/>
          <w:numId w:val="1007"/>
        </w:numPr>
        <w:pStyle w:val="Compact"/>
      </w:pPr>
      <w:r>
        <w:rPr>
          <w:bCs/>
          <w:b/>
        </w:rPr>
        <w:t xml:space="preserve">Internal Transport Mode (within China):</w:t>
      </w:r>
      <w:r>
        <w:t xml:space="preserve"> </w:t>
      </w:r>
      <w:r>
        <w:t xml:space="preserve">(Assumed: Road Freight - Heavy-duty Truck)</w:t>
      </w:r>
    </w:p>
    <w:p>
      <w:pPr>
        <w:numPr>
          <w:ilvl w:val="0"/>
          <w:numId w:val="1007"/>
        </w:numPr>
        <w:pStyle w:val="Compact"/>
      </w:pPr>
      <w:r>
        <w:rPr>
          <w:bCs/>
          <w:b/>
        </w:rPr>
        <w:t xml:space="preserve">Internal Transport Distance:</w:t>
      </w:r>
      <w:r>
        <w:t xml:space="preserve"> </w:t>
      </w:r>
      <w:r>
        <w:t xml:space="preserve">(Assumed: 500 km for distribution to regional hub)</w:t>
      </w:r>
    </w:p>
    <w:p>
      <w:pPr>
        <w:numPr>
          <w:ilvl w:val="0"/>
          <w:numId w:val="1007"/>
        </w:numPr>
        <w:pStyle w:val="Compact"/>
      </w:pPr>
      <w:r>
        <w:rPr>
          <w:bCs/>
          <w:b/>
        </w:rPr>
        <w:t xml:space="preserve">Last-Mile Delivery Channel:</w:t>
      </w:r>
      <w:r>
        <w:t xml:space="preserve"> </w:t>
      </w:r>
      <w:r>
        <w:t xml:space="preserve">Delivery Type (Assumed: Standard Parcel Delivery by Road - Light Commercial Vehicle)</w:t>
      </w:r>
    </w:p>
    <w:p>
      <w:pPr>
        <w:numPr>
          <w:ilvl w:val="0"/>
          <w:numId w:val="1007"/>
        </w:numPr>
        <w:pStyle w:val="Compact"/>
      </w:pPr>
      <w:r>
        <w:rPr>
          <w:bCs/>
          <w:b/>
        </w:rPr>
        <w:t xml:space="preserve">Last-Mile Distance:</w:t>
      </w:r>
      <w:r>
        <w:t xml:space="preserve"> </w:t>
      </w:r>
      <w:r>
        <w:t xml:space="preserve">(Assumed: 100 km)</w:t>
      </w:r>
    </w:p>
    <w:bookmarkEnd w:id="33"/>
    <w:bookmarkStart w:id="34" w:name="use-phase-data"/>
    <w:p>
      <w:pPr>
        <w:pStyle w:val="Heading3"/>
      </w:pPr>
      <w:r>
        <w:t xml:space="preserve">2.4 Use Phase Data</w:t>
      </w:r>
    </w:p>
    <w:p>
      <w:pPr>
        <w:pStyle w:val="FirstParagraph"/>
      </w:pPr>
      <w:r>
        <w:t xml:space="preserve">The use phase can be a major hotspot for energy-consuming products.</w:t>
      </w:r>
    </w:p>
    <w:p>
      <w:pPr>
        <w:numPr>
          <w:ilvl w:val="0"/>
          <w:numId w:val="1008"/>
        </w:numPr>
        <w:pStyle w:val="Compact"/>
      </w:pPr>
      <w:r>
        <w:rPr>
          <w:bCs/>
          <w:b/>
        </w:rPr>
        <w:t xml:space="preserve">Product Lifespan:</w:t>
      </w:r>
      <w:r>
        <w:t xml:space="preserve"> </w:t>
      </w:r>
      <w:r>
        <w:t xml:space="preserve">ltgrmkxotr (Assumed: 5 years)</w:t>
      </w:r>
    </w:p>
    <w:p>
      <w:pPr>
        <w:numPr>
          <w:ilvl w:val="0"/>
          <w:numId w:val="1008"/>
        </w:numPr>
        <w:pStyle w:val="Compact"/>
      </w:pPr>
      <w:r>
        <w:rPr>
          <w:bCs/>
          <w:b/>
        </w:rPr>
        <w:t xml:space="preserve">Energy Consumption in Use (per year):</w:t>
      </w:r>
      <w:r>
        <w:t xml:space="preserve"> </w:t>
      </w:r>
      <w:r>
        <w:t xml:space="preserve">vwkrnrphdm (Assumed: 20 kWh/year)</w:t>
      </w:r>
    </w:p>
    <w:bookmarkEnd w:id="34"/>
    <w:bookmarkStart w:id="35" w:name="end-of-life-eol-scenarios"/>
    <w:p>
      <w:pPr>
        <w:pStyle w:val="Heading3"/>
      </w:pPr>
      <w:r>
        <w:t xml:space="preserve">2.5 End-of-Life (EoL) Scenarios</w:t>
      </w:r>
    </w:p>
    <w:p>
      <w:pPr>
        <w:pStyle w:val="FirstParagraph"/>
      </w:pPr>
      <w:r>
        <w:t xml:space="preserve">Circular economy impacts are considered for the EoL phase.</w:t>
      </w:r>
    </w:p>
    <w:p>
      <w:pPr>
        <w:numPr>
          <w:ilvl w:val="0"/>
          <w:numId w:val="1009"/>
        </w:numPr>
        <w:pStyle w:val="Compact"/>
      </w:pPr>
      <w:r>
        <w:rPr>
          <w:bCs/>
          <w:b/>
        </w:rPr>
        <w:t xml:space="preserve">Recyclability Percentage:</w:t>
      </w:r>
      <w:r>
        <w:t xml:space="preserve"> </w:t>
      </w:r>
      <w:r>
        <w:t xml:space="preserve">hlqudmhwok (Assumed: 70%)</w:t>
      </w:r>
    </w:p>
    <w:p>
      <w:pPr>
        <w:numPr>
          <w:ilvl w:val="0"/>
          <w:numId w:val="1009"/>
        </w:numPr>
        <w:pStyle w:val="Compact"/>
      </w:pPr>
      <w:r>
        <w:rPr>
          <w:bCs/>
          <w:b/>
        </w:rPr>
        <w:t xml:space="preserve">Circular/Take-back Programs:</w:t>
      </w:r>
      <w:r>
        <w:t xml:space="preserve"> </w:t>
      </w:r>
      <w:r>
        <w:t xml:space="preserve">wrhpjrozms (Assumed: Active Program with 10% Material Recovery and 5% avoided emissions from recycling infrastructure)</w:t>
      </w:r>
    </w:p>
    <w:p>
      <w:r>
        <w:pict>
          <v:rect style="width:0;height:1.5pt" o:hralign="center" o:hrstd="t" o:hr="t"/>
        </w:pict>
      </w:r>
    </w:p>
    <w:bookmarkEnd w:id="35"/>
    <w:bookmarkEnd w:id="36"/>
    <w:bookmarkStart w:id="38" w:name="emission-factors-calculation-assumptions"/>
    <w:p>
      <w:pPr>
        <w:pStyle w:val="Heading2"/>
      </w:pPr>
      <w:r>
        <w:t xml:space="preserve">3. Emission Factors &amp; Calculation Assumptions</w:t>
      </w:r>
    </w:p>
    <w:p>
      <w:pPr>
        <w:pStyle w:val="FirstParagraph"/>
      </w:pPr>
      <w:r>
        <w:t xml:space="preserve">To calculate emissions, activity data is multiplied by relevant emission factors. Where specific supplier data (primary data) is unavailable, industry-standard emission factors are used, conceptually similar to those found in databases like Ecoinvent or DEFRA, as indicated by the prompt. It is important to note that specific database access is simulated, and representative values are used for demonstration.</w:t>
      </w:r>
    </w:p>
    <w:bookmarkStart w:id="37" w:name="assumed-emission-factors"/>
    <w:p>
      <w:pPr>
        <w:pStyle w:val="Heading3"/>
      </w:pPr>
      <w:r>
        <w:t xml:space="preserve">3.1 Assumed Emission Factors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Activity</w:t>
            </w:r>
          </w:p>
        </w:tc>
        <w:tc>
          <w:tcPr/>
          <w:p>
            <w:pPr>
              <w:pStyle w:val="Compact"/>
              <w:jc w:val="left"/>
            </w:pPr>
            <w:r>
              <w:t xml:space="preserve">Emission Factor (kgCO2e/unit or activity)</w:t>
            </w:r>
          </w:p>
        </w:tc>
        <w:tc>
          <w:tcPr/>
          <w:p>
            <w:pPr>
              <w:pStyle w:val="Compact"/>
              <w:jc w:val="left"/>
            </w:pPr>
            <w:r>
              <w:t xml:space="preserve">Source/Assumption</w:t>
            </w:r>
          </w:p>
        </w:tc>
      </w:tr>
      <w:tr>
        <w:tc>
          <w:tcPr/>
          <w:p>
            <w:pPr>
              <w:pStyle w:val="Compact"/>
              <w:jc w:val="left"/>
            </w:pPr>
            <w:r>
              <w:t xml:space="preserve">Materials (from BOM)</w:t>
            </w:r>
          </w:p>
        </w:tc>
        <w:tc>
          <w:tcPr/>
          <w:p>
            <w:pPr>
              <w:pStyle w:val="Compact"/>
              <w:jc w:val="left"/>
            </w:pPr>
            <w:r>
              <w:t xml:space="preserve">Various materials (e.g., kg plastic, kg aluminum)</w:t>
            </w:r>
          </w:p>
        </w:tc>
        <w:tc>
          <w:tcPr/>
          <w:p>
            <w:pPr>
              <w:pStyle w:val="Compact"/>
              <w:jc w:val="left"/>
            </w:pPr>
            <w:r>
              <w:t xml:space="preserve">As per BOM table (e.g., 3.50 kgCO2e/kg ABS)</w:t>
            </w:r>
          </w:p>
        </w:tc>
        <w:tc>
          <w:tcPr/>
          <w:p>
            <w:pPr>
              <w:pStyle w:val="Compact"/>
              <w:jc w:val="left"/>
            </w:pPr>
            <w:r>
              <w:t xml:space="preserve">Representative industry averages (simulated)</w:t>
            </w:r>
          </w:p>
        </w:tc>
      </w:tr>
      <w:tr>
        <w:tc>
          <w:tcPr/>
          <w:p>
            <w:pPr>
              <w:pStyle w:val="Compact"/>
              <w:jc w:val="left"/>
            </w:pPr>
            <w:r>
              <w:t xml:space="preserve">Electricity (China Grid Mix)</w:t>
            </w:r>
          </w:p>
        </w:tc>
        <w:tc>
          <w:tcPr/>
          <w:p>
            <w:pPr>
              <w:pStyle w:val="Compact"/>
              <w:jc w:val="left"/>
            </w:pPr>
            <w:r>
              <w:t xml:space="preserve">kWh</w:t>
            </w:r>
          </w:p>
        </w:tc>
        <w:tc>
          <w:tcPr/>
          <w:p>
            <w:pPr>
              <w:pStyle w:val="Compact"/>
              <w:jc w:val="left"/>
            </w:pPr>
            <w:r>
              <w:t xml:space="preserve">0.6205 kgCO2e/kWh</w:t>
            </w:r>
          </w:p>
        </w:tc>
        <w:tc>
          <w:tcPr/>
          <w:p>
            <w:pPr>
              <w:pStyle w:val="Compact"/>
              <w:jc w:val="left"/>
            </w:pPr>
            <w:r>
              <w:t xml:space="preserve">China National Average (2023)</w:t>
            </w:r>
          </w:p>
        </w:tc>
      </w:tr>
      <w:tr>
        <w:tc>
          <w:tcPr/>
          <w:p>
            <w:pPr>
              <w:pStyle w:val="Compact"/>
              <w:jc w:val="left"/>
            </w:pPr>
            <w:r>
              <w:t xml:space="preserve">Ocean Freight (Container Ship)</w:t>
            </w:r>
          </w:p>
        </w:tc>
        <w:tc>
          <w:tcPr/>
          <w:p>
            <w:pPr>
              <w:pStyle w:val="Compact"/>
              <w:jc w:val="left"/>
            </w:pPr>
            <w:r>
              <w:t xml:space="preserve">tonne-km</w:t>
            </w:r>
          </w:p>
        </w:tc>
        <w:tc>
          <w:tcPr/>
          <w:p>
            <w:pPr>
              <w:pStyle w:val="Compact"/>
              <w:jc w:val="left"/>
            </w:pPr>
            <w:r>
              <w:t xml:space="preserve">0.010 kgCO2e/tkm</w:t>
            </w:r>
          </w:p>
        </w:tc>
        <w:tc>
          <w:tcPr/>
          <w:p>
            <w:pPr>
              <w:pStyle w:val="Compact"/>
              <w:jc w:val="left"/>
            </w:pPr>
            <w:r>
              <w:t xml:space="preserve">Representative average for intercontinental shipping</w:t>
            </w:r>
          </w:p>
        </w:tc>
      </w:tr>
      <w:tr>
        <w:tc>
          <w:tcPr/>
          <w:p>
            <w:pPr>
              <w:pStyle w:val="Compact"/>
              <w:jc w:val="left"/>
            </w:pPr>
            <w:r>
              <w:t xml:space="preserve">Road Freight (Heavy-duty Truck)</w:t>
            </w:r>
          </w:p>
        </w:tc>
        <w:tc>
          <w:tcPr/>
          <w:p>
            <w:pPr>
              <w:pStyle w:val="Compact"/>
              <w:jc w:val="left"/>
            </w:pPr>
            <w:r>
              <w:t xml:space="preserve">tonne-km</w:t>
            </w:r>
          </w:p>
        </w:tc>
        <w:tc>
          <w:tcPr/>
          <w:p>
            <w:pPr>
              <w:pStyle w:val="Compact"/>
              <w:jc w:val="left"/>
            </w:pPr>
            <w:r>
              <w:t xml:space="preserve">0.080 kgCO2e/tkm</w:t>
            </w:r>
          </w:p>
        </w:tc>
        <w:tc>
          <w:tcPr/>
          <w:p>
            <w:pPr>
              <w:pStyle w:val="Compact"/>
              <w:jc w:val="left"/>
            </w:pPr>
            <w:r>
              <w:t xml:space="preserve">Representative average for European/Chinese road transport</w:t>
            </w:r>
          </w:p>
        </w:tc>
      </w:tr>
      <w:tr>
        <w:tc>
          <w:tcPr/>
          <w:p>
            <w:pPr>
              <w:pStyle w:val="Compact"/>
              <w:jc w:val="left"/>
            </w:pPr>
            <w:r>
              <w:t xml:space="preserve">Road Freight (Light Commercial Vehicle - Last-Mile)</w:t>
            </w:r>
          </w:p>
        </w:tc>
        <w:tc>
          <w:tcPr/>
          <w:p>
            <w:pPr>
              <w:pStyle w:val="Compact"/>
              <w:jc w:val="left"/>
            </w:pPr>
            <w:r>
              <w:t xml:space="preserve">tonne-km</w:t>
            </w:r>
          </w:p>
        </w:tc>
        <w:tc>
          <w:tcPr/>
          <w:p>
            <w:pPr>
              <w:pStyle w:val="Compact"/>
              <w:jc w:val="left"/>
            </w:pPr>
            <w:r>
              <w:t xml:space="preserve">0.200 kgCO2e/tkm</w:t>
            </w:r>
          </w:p>
        </w:tc>
        <w:tc>
          <w:tcPr/>
          <w:p>
            <w:pPr>
              <w:pStyle w:val="Compact"/>
              <w:jc w:val="left"/>
            </w:pPr>
            <w:r>
              <w:t xml:space="preserve">Representative average for last-mile delivery</w:t>
            </w:r>
          </w:p>
        </w:tc>
      </w:tr>
      <w:tr>
        <w:tc>
          <w:tcPr/>
          <w:p>
            <w:pPr>
              <w:pStyle w:val="Compact"/>
              <w:jc w:val="left"/>
            </w:pPr>
            <w:r>
              <w:t xml:space="preserve">End-of-Life (Recycling Credit)</w:t>
            </w:r>
          </w:p>
        </w:tc>
        <w:tc>
          <w:tcPr/>
          <w:p>
            <w:pPr>
              <w:pStyle w:val="Compact"/>
              <w:jc w:val="left"/>
            </w:pPr>
            <w:r>
              <w:t xml:space="preserve">kg material recycled</w:t>
            </w:r>
          </w:p>
        </w:tc>
        <w:tc>
          <w:tcPr/>
          <w:p>
            <w:pPr>
              <w:pStyle w:val="Compact"/>
              <w:jc w:val="left"/>
            </w:pPr>
            <w:r>
              <w:t xml:space="preserve">-0.5 kgCO2e/kg (avoided emissions)</w:t>
            </w:r>
          </w:p>
        </w:tc>
        <w:tc>
          <w:tcPr/>
          <w:p>
            <w:pPr>
              <w:pStyle w:val="Compact"/>
              <w:jc w:val="left"/>
            </w:pPr>
            <w:r>
              <w:t xml:space="preserve">Simplified assumption based on typical recycling benefits</w:t>
            </w:r>
          </w:p>
        </w:tc>
      </w:tr>
      <w:tr>
        <w:tc>
          <w:tcPr/>
          <w:p>
            <w:pPr>
              <w:pStyle w:val="Compact"/>
              <w:jc w:val="left"/>
            </w:pPr>
            <w:r>
              <w:t xml:space="preserve">Waste to Landfill</w:t>
            </w:r>
          </w:p>
        </w:tc>
        <w:tc>
          <w:tcPr/>
          <w:p>
            <w:pPr>
              <w:pStyle w:val="Compact"/>
              <w:jc w:val="left"/>
            </w:pPr>
            <w:r>
              <w:t xml:space="preserve">kg material</w:t>
            </w:r>
          </w:p>
        </w:tc>
        <w:tc>
          <w:tcPr/>
          <w:p>
            <w:pPr>
              <w:pStyle w:val="Compact"/>
              <w:jc w:val="left"/>
            </w:pPr>
            <w:r>
              <w:t xml:space="preserve">0.02 kgCO2e/kg</w:t>
            </w:r>
          </w:p>
        </w:tc>
        <w:tc>
          <w:tcPr/>
          <w:p>
            <w:pPr>
              <w:pStyle w:val="Compact"/>
              <w:jc w:val="left"/>
            </w:pPr>
            <w:r>
              <w:t xml:space="preserve">Representative average</w:t>
            </w:r>
          </w:p>
        </w:tc>
      </w:tr>
    </w:tbl>
    <w:p>
      <w:r>
        <w:pict>
          <v:rect style="width:0;height:1.5pt" o:hralign="center" o:hrstd="t" o:hr="t"/>
        </w:pict>
      </w:r>
    </w:p>
    <w:bookmarkEnd w:id="37"/>
    <w:bookmarkEnd w:id="38"/>
    <w:bookmarkStart w:id="48" w:name="emissions-calculation-and-categorization"/>
    <w:p>
      <w:pPr>
        <w:pStyle w:val="Heading2"/>
      </w:pPr>
      <w:r>
        <w:t xml:space="preserve">4. Emissions Calculation and Categorization</w:t>
      </w:r>
    </w:p>
    <w:bookmarkStart w:id="39" w:name="scope-1-emissions"/>
    <w:p>
      <w:pPr>
        <w:pStyle w:val="Heading3"/>
      </w:pPr>
      <w:r>
        <w:t xml:space="preserve">4.1 Scope 1 Emissions</w:t>
      </w:r>
    </w:p>
    <w:p>
      <w:pPr>
        <w:pStyle w:val="FirstParagraph"/>
      </w:pPr>
      <w:r>
        <w:t xml:space="preserve">For a \'factory_gate\' system boundary focusing on product PCF, direct emissions from on-site operations are typically minimal or integrated into manufacturing process energy. Assuming no significant on-site combustion or direct process emissions specifically attributed to this single functional unit beyond purchased electricity, **Scope 1 emissions are estimated as 0.00 kgCO2e** for this product. In a corporate GHG inventory, this scope would include emissions from owned fleet vehicles or facilities, but for a product, these are usually covered in Scope 3 if occurring upstream or downstream of the factory gate, or in Scope 2 if associated with purchased energy for manufacturing.</w:t>
      </w:r>
    </w:p>
    <w:bookmarkEnd w:id="39"/>
    <w:bookmarkStart w:id="40" w:name="X74867a7b2c16b8de440578aa3f6074c77be2239"/>
    <w:p>
      <w:pPr>
        <w:pStyle w:val="Heading3"/>
      </w:pPr>
      <w:r>
        <w:t xml:space="preserve">4.2 Scope 2 Emissions (Purchased Electricity for Manufacturing)</w:t>
      </w:r>
    </w:p>
    <w:p>
      <w:pPr>
        <w:numPr>
          <w:ilvl w:val="0"/>
          <w:numId w:val="1010"/>
        </w:numPr>
        <w:pStyle w:val="Compact"/>
      </w:pPr>
      <w:r>
        <w:t xml:space="preserve">Total Energy Consumption: 10 kWh/unit</w:t>
      </w:r>
    </w:p>
    <w:p>
      <w:pPr>
        <w:numPr>
          <w:ilvl w:val="0"/>
          <w:numId w:val="1010"/>
        </w:numPr>
        <w:pStyle w:val="Compact"/>
      </w:pPr>
      <w:r>
        <w:t xml:space="preserve">Renewable Energy Usage: 50%</w:t>
      </w:r>
    </w:p>
    <w:p>
      <w:pPr>
        <w:numPr>
          <w:ilvl w:val="0"/>
          <w:numId w:val="1010"/>
        </w:numPr>
        <w:pStyle w:val="Compact"/>
      </w:pPr>
      <w:r>
        <w:t xml:space="preserve">Non-renewable energy consumption: 10 kWh/unit * (1 - 0.50) = 5 kWh/unit</w:t>
      </w:r>
    </w:p>
    <w:p>
      <w:pPr>
        <w:numPr>
          <w:ilvl w:val="0"/>
          <w:numId w:val="1010"/>
        </w:numPr>
        <w:pStyle w:val="Compact"/>
      </w:pPr>
      <w:r>
        <w:t xml:space="preserve">China Grid Emission Factor: 0.6205 kgCO2e/kWh</w:t>
      </w:r>
    </w:p>
    <w:p>
      <w:pPr>
        <w:numPr>
          <w:ilvl w:val="0"/>
          <w:numId w:val="1010"/>
        </w:numPr>
        <w:pStyle w:val="Compact"/>
      </w:pPr>
      <w:r>
        <w:rPr>
          <w:bCs/>
          <w:b/>
        </w:rPr>
        <w:t xml:space="preserve">Scope 2 Emissions:</w:t>
      </w:r>
      <w:r>
        <w:t xml:space="preserve"> </w:t>
      </w:r>
      <w:r>
        <w:t xml:space="preserve">5 kWh/unit * 0.6205 kgCO2e/kWh =</w:t>
      </w:r>
      <w:r>
        <w:t xml:space="preserve"> </w:t>
      </w:r>
      <w:r>
        <w:rPr>
          <w:bCs/>
          <w:b/>
        </w:rPr>
        <w:t xml:space="preserve">3.10 kgCO2e</w:t>
      </w:r>
    </w:p>
    <w:bookmarkEnd w:id="40"/>
    <w:bookmarkStart w:id="46" w:name="scope-3-emissions-value-chain"/>
    <w:p>
      <w:pPr>
        <w:pStyle w:val="Heading3"/>
      </w:pPr>
      <w:r>
        <w:t xml:space="preserve">4.3 Scope 3 Emissions (Value Chain)</w:t>
      </w:r>
    </w:p>
    <w:bookmarkStart w:id="41" w:name="Xab9729a0caae076ca89f2f71668734f92723cf2"/>
    <w:p>
      <w:pPr>
        <w:pStyle w:val="Heading4"/>
      </w:pPr>
      <w:r>
        <w:t xml:space="preserve">4.3.1 Category 1: Purchased Goods and Services (Materials)</w:t>
      </w:r>
    </w:p>
    <w:p>
      <w:pPr>
        <w:pStyle w:val="FirstParagraph"/>
      </w:pPr>
      <w:r>
        <w:t xml:space="preserve">Based on the detailed BOM, the total emissions from raw materials are:</w:t>
      </w:r>
    </w:p>
    <w:p>
      <w:pPr>
        <w:numPr>
          <w:ilvl w:val="0"/>
          <w:numId w:val="1011"/>
        </w:numPr>
        <w:pStyle w:val="Compact"/>
      </w:pPr>
      <w:r>
        <w:rPr>
          <w:bCs/>
          <w:b/>
        </w:rPr>
        <w:t xml:space="preserve">Material Emissions:</w:t>
      </w:r>
      <w:r>
        <w:t xml:space="preserve"> </w:t>
      </w:r>
      <w:r>
        <w:t xml:space="preserve">7.90 kgCO2e</w:t>
      </w:r>
    </w:p>
    <w:bookmarkEnd w:id="41"/>
    <w:bookmarkStart w:id="42" w:name="X4162f61e82110de803cfe8ae24c02618f42b1ba"/>
    <w:p>
      <w:pPr>
        <w:pStyle w:val="Heading4"/>
      </w:pPr>
      <w:r>
        <w:t xml:space="preserve">4.3.2 Category 4: Upstream Transportation and Distribution (to factory gate)</w:t>
      </w:r>
    </w:p>
    <w:p>
      <w:pPr>
        <w:pStyle w:val="FirstParagraph"/>
      </w:pPr>
      <w:r>
        <w:t xml:space="preserve">Assuming raw materials (e.g., 0.85 kg total from BOM) are sourced from Europe and transported to China, and then locally distributed.</w:t>
      </w:r>
    </w:p>
    <w:p>
      <w:pPr>
        <w:numPr>
          <w:ilvl w:val="0"/>
          <w:numId w:val="1012"/>
        </w:numPr>
        <w:pStyle w:val="Compact"/>
      </w:pPr>
      <w:r>
        <w:rPr>
          <w:bCs/>
          <w:b/>
        </w:rPr>
        <w:t xml:space="preserve">Ocean Freight:</w:t>
      </w:r>
    </w:p>
    <w:p>
      <w:pPr>
        <w:numPr>
          <w:ilvl w:val="0"/>
          <w:numId w:val="1012"/>
        </w:numPr>
        <w:pStyle w:val="Compact"/>
      </w:pPr>
    </w:p>
    <w:p>
      <w:pPr>
        <w:numPr>
          <w:ilvl w:val="1"/>
          <w:numId w:val="1013"/>
        </w:numPr>
        <w:pStyle w:val="Compact"/>
      </w:pPr>
      <w:r>
        <w:t xml:space="preserve">Mass: 0.85 kg = 0.00085 tonnes</w:t>
      </w:r>
    </w:p>
    <w:p>
      <w:pPr>
        <w:numPr>
          <w:ilvl w:val="1"/>
          <w:numId w:val="1013"/>
        </w:numPr>
        <w:pStyle w:val="Compact"/>
      </w:pPr>
      <w:r>
        <w:t xml:space="preserve">Distance: 15,000 km</w:t>
      </w:r>
    </w:p>
    <w:p>
      <w:pPr>
        <w:numPr>
          <w:ilvl w:val="1"/>
          <w:numId w:val="1013"/>
        </w:numPr>
        <w:pStyle w:val="Compact"/>
      </w:pPr>
      <w:r>
        <w:t xml:space="preserve">Emission Factor: 0.010 kgCO2e/tkm</w:t>
      </w:r>
    </w:p>
    <w:p>
      <w:pPr>
        <w:numPr>
          <w:ilvl w:val="1"/>
          <w:numId w:val="1013"/>
        </w:numPr>
        <w:pStyle w:val="Compact"/>
      </w:pPr>
      <w:r>
        <w:t xml:space="preserve">Emissions: 0.00085 t * 15,000 km * 0.010 kgCO2e/tkm = 0.13 kgCO2e</w:t>
      </w:r>
    </w:p>
    <w:p>
      <w:pPr>
        <w:numPr>
          <w:ilvl w:val="0"/>
          <w:numId w:val="1012"/>
        </w:numPr>
        <w:pStyle w:val="Compact"/>
      </w:pPr>
      <w:r>
        <w:rPr>
          <w:bCs/>
          <w:b/>
        </w:rPr>
        <w:t xml:space="preserve">Road Freight (internal to factory in China):</w:t>
      </w:r>
    </w:p>
    <w:p>
      <w:pPr>
        <w:numPr>
          <w:ilvl w:val="0"/>
          <w:numId w:val="1012"/>
        </w:numPr>
        <w:pStyle w:val="Compact"/>
      </w:pPr>
    </w:p>
    <w:p>
      <w:pPr>
        <w:numPr>
          <w:ilvl w:val="1"/>
          <w:numId w:val="1014"/>
        </w:numPr>
        <w:pStyle w:val="Compact"/>
      </w:pPr>
      <w:r>
        <w:t xml:space="preserve">Mass: 0.85 kg = 0.00085 tonnes</w:t>
      </w:r>
    </w:p>
    <w:p>
      <w:pPr>
        <w:numPr>
          <w:ilvl w:val="1"/>
          <w:numId w:val="1014"/>
        </w:numPr>
        <w:pStyle w:val="Compact"/>
      </w:pPr>
      <w:r>
        <w:t xml:space="preserve">Distance: 500 km</w:t>
      </w:r>
    </w:p>
    <w:p>
      <w:pPr>
        <w:numPr>
          <w:ilvl w:val="1"/>
          <w:numId w:val="1014"/>
        </w:numPr>
        <w:pStyle w:val="Compact"/>
      </w:pPr>
      <w:r>
        <w:t xml:space="preserve">Emission Factor: 0.080 kgCO2e/tkm</w:t>
      </w:r>
    </w:p>
    <w:p>
      <w:pPr>
        <w:numPr>
          <w:ilvl w:val="1"/>
          <w:numId w:val="1014"/>
        </w:numPr>
        <w:pStyle w:val="Compact"/>
      </w:pPr>
      <w:r>
        <w:t xml:space="preserve">Emissions: 0.00085 t * 500 km * 0.080 kgCO2e/tkm = 0.03 kgCO2e</w:t>
      </w:r>
    </w:p>
    <w:p>
      <w:pPr>
        <w:numPr>
          <w:ilvl w:val="0"/>
          <w:numId w:val="1012"/>
        </w:numPr>
        <w:pStyle w:val="Compact"/>
      </w:pPr>
      <w:r>
        <w:rPr>
          <w:bCs/>
          <w:b/>
        </w:rPr>
        <w:t xml:space="preserve">Total Upstream Transport Emissions:</w:t>
      </w:r>
      <w:r>
        <w:t xml:space="preserve"> </w:t>
      </w:r>
      <w:r>
        <w:t xml:space="preserve">0.13 + 0.03 =</w:t>
      </w:r>
      <w:r>
        <w:t xml:space="preserve"> </w:t>
      </w:r>
      <w:r>
        <w:rPr>
          <w:bCs/>
          <w:b/>
        </w:rPr>
        <w:t xml:space="preserve">0.16 kgCO2e</w:t>
      </w:r>
    </w:p>
    <w:bookmarkEnd w:id="42"/>
    <w:bookmarkStart w:id="43" w:name="X65a9b049671d6928201ee3ef659e0cc702672af"/>
    <w:p>
      <w:pPr>
        <w:pStyle w:val="Heading4"/>
      </w:pPr>
      <w:r>
        <w:t xml:space="preserve">4.3.3 Category 9: Downstream Transportation and Distribution (from factory to consumer)</w:t>
      </w:r>
    </w:p>
    <w:p>
      <w:pPr>
        <w:pStyle w:val="FirstParagraph"/>
      </w:pPr>
      <w:r>
        <w:t xml:space="preserve">Assuming transport from China factory to a European consumer, including last-mile delivery.</w:t>
      </w:r>
    </w:p>
    <w:p>
      <w:pPr>
        <w:numPr>
          <w:ilvl w:val="0"/>
          <w:numId w:val="1015"/>
        </w:numPr>
        <w:pStyle w:val="Compact"/>
      </w:pPr>
      <w:r>
        <w:rPr>
          <w:bCs/>
          <w:b/>
        </w:rPr>
        <w:t xml:space="preserve">Ocean Freight:</w:t>
      </w:r>
    </w:p>
    <w:p>
      <w:pPr>
        <w:numPr>
          <w:ilvl w:val="0"/>
          <w:numId w:val="1015"/>
        </w:numPr>
        <w:pStyle w:val="Compact"/>
      </w:pPr>
    </w:p>
    <w:p>
      <w:pPr>
        <w:numPr>
          <w:ilvl w:val="1"/>
          <w:numId w:val="1016"/>
        </w:numPr>
        <w:pStyle w:val="Compact"/>
      </w:pPr>
      <w:r>
        <w:t xml:space="preserve">Mass: 0.85 kg = 0.00085 tonnes</w:t>
      </w:r>
    </w:p>
    <w:p>
      <w:pPr>
        <w:numPr>
          <w:ilvl w:val="1"/>
          <w:numId w:val="1016"/>
        </w:numPr>
        <w:pStyle w:val="Compact"/>
      </w:pPr>
      <w:r>
        <w:t xml:space="preserve">Distance: 15,000 km</w:t>
      </w:r>
    </w:p>
    <w:p>
      <w:pPr>
        <w:numPr>
          <w:ilvl w:val="1"/>
          <w:numId w:val="1016"/>
        </w:numPr>
        <w:pStyle w:val="Compact"/>
      </w:pPr>
      <w:r>
        <w:t xml:space="preserve">Emission Factor: 0.010 kgCO2e/tkm</w:t>
      </w:r>
    </w:p>
    <w:p>
      <w:pPr>
        <w:numPr>
          <w:ilvl w:val="1"/>
          <w:numId w:val="1016"/>
        </w:numPr>
        <w:pStyle w:val="Compact"/>
      </w:pPr>
      <w:r>
        <w:t xml:space="preserve">Emissions: 0.00085 t * 15,000 km * 0.010 kgCO2e/tkm = 0.13 kgCO2e</w:t>
      </w:r>
    </w:p>
    <w:p>
      <w:pPr>
        <w:numPr>
          <w:ilvl w:val="0"/>
          <w:numId w:val="1015"/>
        </w:numPr>
        <w:pStyle w:val="Compact"/>
      </w:pPr>
      <w:r>
        <w:rPr>
          <w:bCs/>
          <w:b/>
        </w:rPr>
        <w:t xml:space="preserve">Road Freight (internal in Europe):</w:t>
      </w:r>
    </w:p>
    <w:p>
      <w:pPr>
        <w:numPr>
          <w:ilvl w:val="0"/>
          <w:numId w:val="1015"/>
        </w:numPr>
        <w:pStyle w:val="Compact"/>
      </w:pPr>
    </w:p>
    <w:p>
      <w:pPr>
        <w:numPr>
          <w:ilvl w:val="1"/>
          <w:numId w:val="1017"/>
        </w:numPr>
        <w:pStyle w:val="Compact"/>
      </w:pPr>
      <w:r>
        <w:t xml:space="preserve">Mass: 0.85 kg = 0.00085 tonnes</w:t>
      </w:r>
    </w:p>
    <w:p>
      <w:pPr>
        <w:numPr>
          <w:ilvl w:val="1"/>
          <w:numId w:val="1017"/>
        </w:numPr>
        <w:pStyle w:val="Compact"/>
      </w:pPr>
      <w:r>
        <w:t xml:space="preserve">Distance: 500 km</w:t>
      </w:r>
    </w:p>
    <w:p>
      <w:pPr>
        <w:numPr>
          <w:ilvl w:val="1"/>
          <w:numId w:val="1017"/>
        </w:numPr>
        <w:pStyle w:val="Compact"/>
      </w:pPr>
      <w:r>
        <w:t xml:space="preserve">Emission Factor: 0.080 kgCO2e/tkm</w:t>
      </w:r>
    </w:p>
    <w:p>
      <w:pPr>
        <w:numPr>
          <w:ilvl w:val="1"/>
          <w:numId w:val="1017"/>
        </w:numPr>
        <w:pStyle w:val="Compact"/>
      </w:pPr>
      <w:r>
        <w:t xml:space="preserve">Emissions: 0.00085 t * 500 km * 0.080 kgCO2e/tkm = 0.03 kgCO2e</w:t>
      </w:r>
    </w:p>
    <w:p>
      <w:pPr>
        <w:numPr>
          <w:ilvl w:val="0"/>
          <w:numId w:val="1015"/>
        </w:numPr>
        <w:pStyle w:val="Compact"/>
      </w:pPr>
      <w:r>
        <w:rPr>
          <w:bCs/>
          <w:b/>
        </w:rPr>
        <w:t xml:space="preserve">Last-Mile Delivery (Light Commercial Vehicle):</w:t>
      </w:r>
    </w:p>
    <w:p>
      <w:pPr>
        <w:numPr>
          <w:ilvl w:val="0"/>
          <w:numId w:val="1015"/>
        </w:numPr>
        <w:pStyle w:val="Compact"/>
      </w:pPr>
    </w:p>
    <w:p>
      <w:pPr>
        <w:numPr>
          <w:ilvl w:val="1"/>
          <w:numId w:val="1018"/>
        </w:numPr>
        <w:pStyle w:val="Compact"/>
      </w:pPr>
      <w:r>
        <w:t xml:space="preserve">Mass: 0.85 kg = 0.00085 tonnes</w:t>
      </w:r>
    </w:p>
    <w:p>
      <w:pPr>
        <w:numPr>
          <w:ilvl w:val="1"/>
          <w:numId w:val="1018"/>
        </w:numPr>
        <w:pStyle w:val="Compact"/>
      </w:pPr>
      <w:r>
        <w:t xml:space="preserve">Distance: 100 km</w:t>
      </w:r>
    </w:p>
    <w:p>
      <w:pPr>
        <w:numPr>
          <w:ilvl w:val="1"/>
          <w:numId w:val="1018"/>
        </w:numPr>
        <w:pStyle w:val="Compact"/>
      </w:pPr>
      <w:r>
        <w:t xml:space="preserve">Emission Factor: 0.200 kgCO2e/tkm</w:t>
      </w:r>
    </w:p>
    <w:p>
      <w:pPr>
        <w:numPr>
          <w:ilvl w:val="1"/>
          <w:numId w:val="1018"/>
        </w:numPr>
        <w:pStyle w:val="Compact"/>
      </w:pPr>
      <w:r>
        <w:t xml:space="preserve">Emissions: 0.00085 t * 100 km * 0.200 kgCO2e/tkm = 0.02 kgCO2e</w:t>
      </w:r>
    </w:p>
    <w:p>
      <w:pPr>
        <w:numPr>
          <w:ilvl w:val="0"/>
          <w:numId w:val="1015"/>
        </w:numPr>
        <w:pStyle w:val="Compact"/>
      </w:pPr>
      <w:r>
        <w:rPr>
          <w:bCs/>
          <w:b/>
        </w:rPr>
        <w:t xml:space="preserve">Total Downstream Transport Emissions:</w:t>
      </w:r>
      <w:r>
        <w:t xml:space="preserve"> </w:t>
      </w:r>
      <w:r>
        <w:t xml:space="preserve">0.13 + 0.03 + 0.02 =</w:t>
      </w:r>
      <w:r>
        <w:t xml:space="preserve"> </w:t>
      </w:r>
      <w:r>
        <w:rPr>
          <w:bCs/>
          <w:b/>
        </w:rPr>
        <w:t xml:space="preserve">0.18 kgCO2e</w:t>
      </w:r>
    </w:p>
    <w:bookmarkEnd w:id="43"/>
    <w:bookmarkStart w:id="44" w:name="category-11-use-of-sold-products"/>
    <w:p>
      <w:pPr>
        <w:pStyle w:val="Heading4"/>
      </w:pPr>
      <w:r>
        <w:t xml:space="preserve">4.3.4 Category 11: Use of Sold Products</w:t>
      </w:r>
    </w:p>
    <w:p>
      <w:pPr>
        <w:pStyle w:val="FirstParagraph"/>
      </w:pPr>
      <w:r>
        <w:t xml:space="preserve">Calculating energy consumption over the product\'s lifespan. Assuming an average European electricity grid emission factor for the end-user (e.g., 0.25 kgCO2e/kWh for a blended European grid).</w:t>
      </w:r>
    </w:p>
    <w:p>
      <w:pPr>
        <w:numPr>
          <w:ilvl w:val="0"/>
          <w:numId w:val="1019"/>
        </w:numPr>
        <w:pStyle w:val="Compact"/>
      </w:pPr>
      <w:r>
        <w:t xml:space="preserve">Lifespan: 5 years</w:t>
      </w:r>
    </w:p>
    <w:p>
      <w:pPr>
        <w:numPr>
          <w:ilvl w:val="0"/>
          <w:numId w:val="1019"/>
        </w:numPr>
        <w:pStyle w:val="Compact"/>
      </w:pPr>
      <w:r>
        <w:t xml:space="preserve">Annual Energy Consumption: 20 kWh/year</w:t>
      </w:r>
    </w:p>
    <w:p>
      <w:pPr>
        <w:numPr>
          <w:ilvl w:val="0"/>
          <w:numId w:val="1019"/>
        </w:numPr>
        <w:pStyle w:val="Compact"/>
      </w:pPr>
      <w:r>
        <w:t xml:space="preserve">Total Lifespan Energy: 5 years * 20 kWh/year = 100 kWh</w:t>
      </w:r>
    </w:p>
    <w:p>
      <w:pPr>
        <w:numPr>
          <w:ilvl w:val="0"/>
          <w:numId w:val="1019"/>
        </w:numPr>
        <w:pStyle w:val="Compact"/>
      </w:pPr>
      <w:r>
        <w:t xml:space="preserve">Assumed European Grid Factor: 0.25 kgCO2e/kWh</w:t>
      </w:r>
    </w:p>
    <w:p>
      <w:pPr>
        <w:numPr>
          <w:ilvl w:val="0"/>
          <w:numId w:val="1019"/>
        </w:numPr>
        <w:pStyle w:val="Compact"/>
      </w:pPr>
      <w:r>
        <w:rPr>
          <w:bCs/>
          <w:b/>
        </w:rPr>
        <w:t xml:space="preserve">Use Phase Emissions:</w:t>
      </w:r>
      <w:r>
        <w:t xml:space="preserve"> </w:t>
      </w:r>
      <w:r>
        <w:t xml:space="preserve">100 kWh * 0.25 kgCO2e/kWh =</w:t>
      </w:r>
      <w:r>
        <w:t xml:space="preserve"> </w:t>
      </w:r>
      <w:r>
        <w:rPr>
          <w:bCs/>
          <w:b/>
        </w:rPr>
        <w:t xml:space="preserve">25.00 kgCO2e</w:t>
      </w:r>
    </w:p>
    <w:bookmarkEnd w:id="44"/>
    <w:bookmarkStart w:id="45" w:name="X9f66eef2700632e081dfe139021cb724ffcd2c5"/>
    <w:p>
      <w:pPr>
        <w:pStyle w:val="Heading4"/>
      </w:pPr>
      <w:r>
        <w:t xml:space="preserve">4.3.5 Category 12: End-of-Life Treatment of Sold Products</w:t>
      </w:r>
    </w:p>
    <w:p>
      <w:pPr>
        <w:pStyle w:val="FirstParagraph"/>
      </w:pPr>
      <w:r>
        <w:t xml:space="preserve">Considering recyclability and circular programs.</w:t>
      </w:r>
    </w:p>
    <w:p>
      <w:pPr>
        <w:numPr>
          <w:ilvl w:val="0"/>
          <w:numId w:val="1020"/>
        </w:numPr>
        <w:pStyle w:val="Compact"/>
      </w:pPr>
      <w:r>
        <w:t xml:space="preserve">Total Product Mass (approx from BOM): 0.85 kg</w:t>
      </w:r>
    </w:p>
    <w:p>
      <w:pPr>
        <w:numPr>
          <w:ilvl w:val="0"/>
          <w:numId w:val="1020"/>
        </w:numPr>
        <w:pStyle w:val="Compact"/>
      </w:pPr>
      <w:r>
        <w:t xml:space="preserve">Recyclability Percentage: 70%</w:t>
      </w:r>
    </w:p>
    <w:p>
      <w:pPr>
        <w:numPr>
          <w:ilvl w:val="0"/>
          <w:numId w:val="1020"/>
        </w:numPr>
        <w:pStyle w:val="Compact"/>
      </w:pPr>
      <w:r>
        <w:t xml:space="preserve">Mass Recycled: 0.85 kg * 0.70 = 0.595 kg</w:t>
      </w:r>
    </w:p>
    <w:p>
      <w:pPr>
        <w:numPr>
          <w:ilvl w:val="0"/>
          <w:numId w:val="1020"/>
        </w:numPr>
        <w:pStyle w:val="Compact"/>
      </w:pPr>
      <w:r>
        <w:t xml:space="preserve">Mass to Landfill: 0.85 kg * (1 - 0.70) = 0.255 kg</w:t>
      </w:r>
    </w:p>
    <w:p>
      <w:pPr>
        <w:numPr>
          <w:ilvl w:val="0"/>
          <w:numId w:val="1020"/>
        </w:numPr>
        <w:pStyle w:val="Compact"/>
      </w:pPr>
      <w:r>
        <w:t xml:space="preserve">Recycling Credit: 0.595 kg * -0.5 kgCO2e/kg = -0.30 kgCO2e (avoided emissions)</w:t>
      </w:r>
    </w:p>
    <w:p>
      <w:pPr>
        <w:numPr>
          <w:ilvl w:val="0"/>
          <w:numId w:val="1020"/>
        </w:numPr>
        <w:pStyle w:val="Compact"/>
      </w:pPr>
      <w:r>
        <w:t xml:space="preserve">Landfill Emissions: 0.255 kg * 0.02 kgCO2e/kg = 0.01 kgCO2e</w:t>
      </w:r>
    </w:p>
    <w:p>
      <w:pPr>
        <w:numPr>
          <w:ilvl w:val="0"/>
          <w:numId w:val="1020"/>
        </w:numPr>
        <w:pStyle w:val="Compact"/>
      </w:pPr>
      <w:r>
        <w:t xml:space="preserve">Circular/Take-back Programs: An additional 5% avoided emissions from recycling infrastructure / improved processes due to programs.</w:t>
      </w:r>
    </w:p>
    <w:p>
      <w:pPr>
        <w:numPr>
          <w:ilvl w:val="0"/>
          <w:numId w:val="1020"/>
        </w:numPr>
        <w:pStyle w:val="Compact"/>
      </w:pPr>
      <w:r>
        <w:t xml:space="preserve">Adjusted Recycling Credit: -0.30 kgCO2e * 1.05 (for additional benefit) = -0.315 kgCO2e</w:t>
      </w:r>
    </w:p>
    <w:p>
      <w:pPr>
        <w:numPr>
          <w:ilvl w:val="0"/>
          <w:numId w:val="1020"/>
        </w:numPr>
        <w:pStyle w:val="Compact"/>
      </w:pPr>
      <w:r>
        <w:rPr>
          <w:bCs/>
          <w:b/>
        </w:rPr>
        <w:t xml:space="preserve">End-of-Life Net Emissions:</w:t>
      </w:r>
      <w:r>
        <w:t xml:space="preserve"> </w:t>
      </w:r>
      <w:r>
        <w:t xml:space="preserve">-0.315 kgCO2e (credit) + 0.01 kgCO2e =</w:t>
      </w:r>
      <w:r>
        <w:t xml:space="preserve"> </w:t>
      </w:r>
      <w:r>
        <w:rPr>
          <w:bCs/>
          <w:b/>
        </w:rPr>
        <w:t xml:space="preserve">-0.305 kgCO2e</w:t>
      </w:r>
    </w:p>
    <w:bookmarkEnd w:id="45"/>
    <w:bookmarkEnd w:id="46"/>
    <w:bookmarkStart w:id="47" w:name="summary-of-emissions-by-scope"/>
    <w:p>
      <w:pPr>
        <w:pStyle w:val="Heading3"/>
      </w:pPr>
      <w:r>
        <w:t xml:space="preserve">4.4 Summary of Emissions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for Manufacturing</w:t>
            </w:r>
          </w:p>
        </w:tc>
        <w:tc>
          <w:tcPr/>
          <w:p>
            <w:pPr>
              <w:pStyle w:val="Compact"/>
              <w:jc w:val="left"/>
            </w:pPr>
            <w:r>
              <w:t xml:space="preserve">3.10</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7.90</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0.16</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0.18</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25.00</w:t>
            </w:r>
          </w:p>
        </w:tc>
      </w:tr>
      <w:tr>
        <w:tc>
          <w:tcPr/>
          <w:p>
            <w:pPr>
              <w:pStyle w:val="Compact"/>
              <w:jc w:val="left"/>
            </w:pPr>
            <w:r>
              <w:t xml:space="preserve">Scope 3 (EoL)</w:t>
            </w:r>
          </w:p>
        </w:tc>
        <w:tc>
          <w:tcPr/>
          <w:p>
            <w:pPr>
              <w:pStyle w:val="Compact"/>
              <w:jc w:val="left"/>
            </w:pPr>
            <w:r>
              <w:t xml:space="preserve">Category 12: End-of-Life Treatment of Sold Products</w:t>
            </w:r>
          </w:p>
        </w:tc>
        <w:tc>
          <w:tcPr/>
          <w:p>
            <w:pPr>
              <w:pStyle w:val="Compact"/>
              <w:jc w:val="left"/>
            </w:pPr>
            <w:r>
              <w:t xml:space="preserve">-0.305</w:t>
            </w:r>
          </w:p>
        </w:tc>
      </w:tr>
      <w:tr>
        <w:tc>
          <w:tcPr>
            <w:gridSpan w:val="2"/>
          </w:tcPr>
          <w:p>
            <w:pPr>
              <w:pStyle w:val="Compact"/>
              <w:jc w:val="left"/>
            </w:pPr>
            <w:r>
              <w:t xml:space="preserve">Total Product Carbon Footprint (PCF)</w:t>
            </w:r>
          </w:p>
        </w:tc>
        <w:tc>
          <w:tcPr/>
          <w:p>
            <w:pPr>
              <w:pStyle w:val="Compact"/>
              <w:jc w:val="left"/>
            </w:pPr>
            <w:r>
              <w:t xml:space="preserve">31.035 kgCO2e</w:t>
            </w:r>
          </w:p>
        </w:tc>
      </w:tr>
    </w:tbl>
    <w:p>
      <w:r>
        <w:pict>
          <v:rect style="width:0;height:1.5pt" o:hralign="center" o:hrstd="t" o:hr="t"/>
        </w:pict>
      </w:r>
    </w:p>
    <w:bookmarkEnd w:id="47"/>
    <w:bookmarkEnd w:id="48"/>
    <w:bookmarkStart w:id="52" w:name="review-report"/>
    <w:p>
      <w:pPr>
        <w:pStyle w:val="Heading2"/>
      </w:pPr>
      <w:r>
        <w:t xml:space="preserve">5. Review &amp; Report</w:t>
      </w:r>
    </w:p>
    <w:bookmarkStart w:id="49" w:name="hotspots-identification"/>
    <w:p>
      <w:pPr>
        <w:pStyle w:val="Heading3"/>
      </w:pPr>
      <w:r>
        <w:t xml:space="preserve">5.1 Hotspots Identification</w:t>
      </w:r>
    </w:p>
    <w:p>
      <w:pPr>
        <w:pStyle w:val="FirstParagraph"/>
      </w:pPr>
      <w:r>
        <w:t xml:space="preserve">The primary emission hotspots for nilgejnmey are:</w:t>
      </w:r>
    </w:p>
    <w:p>
      <w:pPr>
        <w:numPr>
          <w:ilvl w:val="0"/>
          <w:numId w:val="1021"/>
        </w:numPr>
        <w:pStyle w:val="Compact"/>
      </w:pPr>
      <w:r>
        <w:rPr>
          <w:bCs/>
          <w:b/>
        </w:rPr>
        <w:t xml:space="preserve">Use Phase (25.00 kgCO2e):</w:t>
      </w:r>
      <w:r>
        <w:t xml:space="preserve"> </w:t>
      </w:r>
      <w:r>
        <w:t xml:space="preserve">The dominant contributor, accounting for approximately 80.56% of the total PCF. This is largely due to the assumed energy consumption over the product\'s lifespan and the electricity mix of the end-user.</w:t>
      </w:r>
    </w:p>
    <w:p>
      <w:pPr>
        <w:numPr>
          <w:ilvl w:val="0"/>
          <w:numId w:val="1021"/>
        </w:numPr>
        <w:pStyle w:val="Compact"/>
      </w:pPr>
      <w:r>
        <w:rPr>
          <w:bCs/>
          <w:b/>
        </w:rPr>
        <w:t xml:space="preserve">Purchased Goods and Services (7.90 kgCO2e):</w:t>
      </w:r>
      <w:r>
        <w:t xml:space="preserve"> </w:t>
      </w:r>
      <w:r>
        <w:t xml:space="preserve">Materials account for approximately 25.46% of the PCF, highlighting the impact of raw material extraction and processing.</w:t>
      </w:r>
    </w:p>
    <w:p>
      <w:pPr>
        <w:numPr>
          <w:ilvl w:val="0"/>
          <w:numId w:val="1021"/>
        </w:numPr>
        <w:pStyle w:val="Compact"/>
      </w:pPr>
      <w:r>
        <w:rPr>
          <w:bCs/>
          <w:b/>
        </w:rPr>
        <w:t xml:space="preserve">Manufacturing Energy (3.10 kgCO2e):</w:t>
      </w:r>
      <w:r>
        <w:t xml:space="preserve"> </w:t>
      </w:r>
      <w:r>
        <w:t xml:space="preserve">Despite 50% renewable energy usage, the remaining grid electricity consumption in China contributes significantly.</w:t>
      </w:r>
    </w:p>
    <w:p>
      <w:pPr>
        <w:numPr>
          <w:ilvl w:val="0"/>
          <w:numId w:val="1021"/>
        </w:numPr>
        <w:pStyle w:val="Compact"/>
      </w:pPr>
      <w:r>
        <w:t xml:space="preserve">Transportation emissions (upstream and downstream) are relatively minor contributors, but still relevant for completeness.</w:t>
      </w:r>
    </w:p>
    <w:bookmarkEnd w:id="49"/>
    <w:bookmarkStart w:id="50" w:name="data-reliability-and-limitations"/>
    <w:p>
      <w:pPr>
        <w:pStyle w:val="Heading3"/>
      </w:pPr>
      <w:r>
        <w:t xml:space="preserve">5.2 Data Reliability and Limitations</w:t>
      </w:r>
    </w:p>
    <w:p>
      <w:pPr>
        <w:pStyle w:val="FirstParagraph"/>
      </w:pPr>
      <w:r>
        <w:t xml:space="preserve">This report provides a high-detail analysis based on the provided parameters. However, the accuracy is subject to the following:</w:t>
      </w:r>
    </w:p>
    <w:p>
      <w:pPr>
        <w:numPr>
          <w:ilvl w:val="0"/>
          <w:numId w:val="1022"/>
        </w:numPr>
        <w:pStyle w:val="Compact"/>
      </w:pPr>
      <w:r>
        <w:rPr>
          <w:bCs/>
          <w:b/>
        </w:rPr>
        <w:t xml:space="preserve">Emission Factors:</w:t>
      </w:r>
      <w:r>
        <w:t xml:space="preserve"> </w:t>
      </w:r>
      <w:r>
        <w:t xml:space="preserve">While industry-standard emission factors are conceptually applied, specific Ecoinvent/DEFRA database access was simulated. Real-world application would require direct access to these databases or primary supplier-specific data for utmost accuracy.</w:t>
      </w:r>
    </w:p>
    <w:p>
      <w:pPr>
        <w:numPr>
          <w:ilvl w:val="0"/>
          <w:numId w:val="1022"/>
        </w:numPr>
        <w:pStyle w:val="Compact"/>
      </w:pPr>
      <w:r>
        <w:rPr>
          <w:bCs/>
          <w:b/>
        </w:rPr>
        <w:t xml:space="preserve">Placeholder Data:</w:t>
      </w:r>
      <w:r>
        <w:t xml:space="preserve"> </w:t>
      </w:r>
      <w:r>
        <w:t xml:space="preserve">Many parameters (e.g., `spktrmuqng`, `lvknddmvmz`) were provided as placeholders, requiring the use of representative dummy data for calculations. This introduces a level of uncertainty.</w:t>
      </w:r>
    </w:p>
    <w:p>
      <w:pPr>
        <w:numPr>
          <w:ilvl w:val="0"/>
          <w:numId w:val="1022"/>
        </w:numPr>
        <w:pStyle w:val="Compact"/>
      </w:pPr>
      <w:r>
        <w:rPr>
          <w:bCs/>
          <w:b/>
        </w:rPr>
        <w:t xml:space="preserve">Scope 3 Completeness:</w:t>
      </w:r>
      <w:r>
        <w:t xml:space="preserve"> </w:t>
      </w:r>
      <w:r>
        <w:t xml:space="preserve">Achieving the 2026 GHG Protocol\'s 95% Scope 3 coverage rule and data disaggregation (primary vs. secondary) requires significant engagement with the entire value chain. This report provides a robust estimate but would necessitate extensive primary data collection for full compliance and audit readiness.</w:t>
      </w:r>
    </w:p>
    <w:p>
      <w:pPr>
        <w:numPr>
          <w:ilvl w:val="0"/>
          <w:numId w:val="1022"/>
        </w:numPr>
        <w:pStyle w:val="Compact"/>
      </w:pPr>
      <w:r>
        <w:rPr>
          <w:bCs/>
          <w:b/>
        </w:rPr>
        <w:t xml:space="preserve">LSR Standard:</w:t>
      </w:r>
      <w:r>
        <w:t xml:space="preserve"> </w:t>
      </w:r>
      <w:r>
        <w:t xml:space="preserve">While acknowledged, direct application of the LSR Standard to nilgejnmey is limited given the product\'s nature, but upstream agricultural components would require detailed reporting by suppliers.</w:t>
      </w:r>
    </w:p>
    <w:bookmarkEnd w:id="50"/>
    <w:bookmarkStart w:id="51" w:name="recommendations"/>
    <w:p>
      <w:pPr>
        <w:pStyle w:val="Heading3"/>
      </w:pPr>
      <w:r>
        <w:t xml:space="preserve">5.3 Recommendations</w:t>
      </w:r>
    </w:p>
    <w:p>
      <w:pPr>
        <w:numPr>
          <w:ilvl w:val="0"/>
          <w:numId w:val="1023"/>
        </w:numPr>
        <w:pStyle w:val="Compact"/>
      </w:pPr>
      <w:r>
        <w:rPr>
          <w:bCs/>
          <w:b/>
        </w:rPr>
        <w:t xml:space="preserve">Focus on Use Phase Optimization:</w:t>
      </w:r>
      <w:r>
        <w:t xml:space="preserve"> </w:t>
      </w:r>
      <w:r>
        <w:t xml:space="preserve">Investigate opportunities to reduce energy consumption during the product\'s use phase. This could involve improving energy efficiency, promoting sustainable energy sources for end-users (e.g., through product design for compatibility with renewables), or exploring longer product lifespans to amortize manufacturing impacts over more use cycles.</w:t>
      </w:r>
    </w:p>
    <w:p>
      <w:pPr>
        <w:numPr>
          <w:ilvl w:val="0"/>
          <w:numId w:val="1023"/>
        </w:numPr>
        <w:pStyle w:val="Compact"/>
      </w:pPr>
      <w:r>
        <w:rPr>
          <w:bCs/>
          <w:b/>
        </w:rPr>
        <w:t xml:space="preserve">Material Circularity:</w:t>
      </w:r>
      <w:r>
        <w:t xml:space="preserve"> </w:t>
      </w:r>
      <w:r>
        <w:t xml:space="preserve">Enhance efforts in sourcing lower-carbon materials and maximizing the recyclability and recycled content of components. Explore innovative material alternatives. The existing 70% recyclability is a good starting point, but continuous improvement and the strengthening of circular/take-back programs are crucial.</w:t>
      </w:r>
    </w:p>
    <w:p>
      <w:pPr>
        <w:numPr>
          <w:ilvl w:val="0"/>
          <w:numId w:val="1023"/>
        </w:numPr>
        <w:pStyle w:val="Compact"/>
      </w:pPr>
      <w:r>
        <w:rPr>
          <w:bCs/>
          <w:b/>
        </w:rPr>
        <w:t xml:space="preserve">Renewable Energy Integration:</w:t>
      </w:r>
      <w:r>
        <w:t xml:space="preserve"> </w:t>
      </w:r>
      <w:r>
        <w:t xml:space="preserve">Continue to increase renewable energy usage in manufacturing operations in China. Explore options for virtual power purchase agreements or direct investment in renewable energy projects to further reduce Scope 2 emissions.</w:t>
      </w:r>
    </w:p>
    <w:p>
      <w:pPr>
        <w:numPr>
          <w:ilvl w:val="0"/>
          <w:numId w:val="1023"/>
        </w:numPr>
        <w:pStyle w:val="Compact"/>
      </w:pPr>
      <w:r>
        <w:rPr>
          <w:bCs/>
          <w:b/>
        </w:rPr>
        <w:t xml:space="preserve">Supply Chain Engagement:</w:t>
      </w:r>
      <w:r>
        <w:t xml:space="preserve"> </w:t>
      </w:r>
      <w:r>
        <w:t xml:space="preserve">To meet the 2026 Scope 3 compliance requirements, prioritize active engagement with key suppliers to collect primary, activity-based emissions data for materials and upstream transportation. This will significantly improve the accuracy and auditability of the PCF.</w:t>
      </w:r>
    </w:p>
    <w:p>
      <w:pPr>
        <w:numPr>
          <w:ilvl w:val="0"/>
          <w:numId w:val="1023"/>
        </w:numPr>
        <w:pStyle w:val="Compact"/>
      </w:pPr>
      <w:r>
        <w:rPr>
          <w:bCs/>
          <w:b/>
        </w:rPr>
        <w:t xml:space="preserve">Life Cycle Assessment (LCA) Expansion:</w:t>
      </w:r>
      <w:r>
        <w:t xml:space="preserve"> </w:t>
      </w:r>
      <w:r>
        <w:t xml:space="preserve">Consider expanding the system boundary beyond \'factory_gate\' in future assessments to include more detailed upstream and downstream processes where relevant.</w:t>
      </w:r>
    </w:p>
    <w:bookmarkEnd w:id="51"/>
    <w:bookmarkEnd w:id="52"/>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nilgejnmey</dc:title>
  <dc:creator/>
  <dc:description>High-detail Product Carbon Footprint (PCF) analysis for nilgejnmey, conducted by kmjztqvxfl for rowxliqwpl, adhering to GHG Protocol standards including 2026 updates for Scope 3 and LSR.</dc:description>
  <dc:language>en</dc:language>
  <cp:keywords/>
  <dcterms:created xsi:type="dcterms:W3CDTF">2026-05-30T16:53:58Z</dcterms:created>
  <dcterms:modified xsi:type="dcterms:W3CDTF">2026-05-30T16:53:58Z</dcterms:modified>
</cp:coreProperties>
</file>

<file path=docProps/custom.xml><?xml version="1.0" encoding="utf-8"?>
<Properties xmlns="http://schemas.openxmlformats.org/officeDocument/2006/custom-properties" xmlns:vt="http://schemas.openxmlformats.org/officeDocument/2006/docPropsVTypes"/>
</file>