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nigtfodjxq</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nigtfodjxq</w:t>
      </w:r>
    </w:p>
    <w:p>
      <w:pPr>
        <w:pStyle w:val="BodyText"/>
      </w:pPr>
      <w:r>
        <w:rPr>
          <w:bCs/>
          <w:b/>
        </w:rPr>
        <w:t xml:space="preserve">Company Name:</w:t>
      </w:r>
      <w:r>
        <w:t xml:space="preserve"> </w:t>
      </w:r>
      <w:r>
        <w:t xml:space="preserve">qzlhfydqzq</w:t>
      </w:r>
    </w:p>
    <w:p>
      <w:pPr>
        <w:pStyle w:val="BodyText"/>
      </w:pPr>
      <w:r>
        <w:rPr>
          <w:bCs/>
          <w:b/>
        </w:rPr>
        <w:t xml:space="preserve">Senior Sustainability Consultant:</w:t>
      </w:r>
      <w:r>
        <w:t xml:space="preserve"> </w:t>
      </w:r>
      <w:r>
        <w:t xml:space="preserve">idpwqxgxpt</w:t>
      </w:r>
    </w:p>
    <w:p>
      <w:pPr>
        <w:pStyle w:val="BodyText"/>
      </w:pPr>
      <w:r>
        <w:rPr>
          <w:bCs/>
          <w:b/>
        </w:rPr>
        <w:t xml:space="preserve">Protocol Data (Accounting Standard):</w:t>
      </w:r>
      <w:r>
        <w:t xml:space="preserve"> </w:t>
      </w:r>
      <w:r>
        <w:t xml:space="preserve">GHG Protocol</w:t>
      </w:r>
    </w:p>
    <w:p>
      <w:pPr>
        <w:pStyle w:val="BodyText"/>
      </w:pPr>
      <w:r>
        <w:rPr>
          <w:iCs/>
          <w:i/>
        </w:rPr>
        <w:t xml:space="preserve">Disclaimer: This report is generated based on available data and industry standards. Illustrative data has been used where specific parameters were provided as placeholders.</w:t>
      </w:r>
    </w:p>
    <w:bookmarkEnd w:id="20"/>
    <w:bookmarkStart w:id="48"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24,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"nigtfodjxq" manufactured by "qzlhfydqzq". The analysis was conducted by Senior Sustainability Consultant idpwqxgxpt, adhering strictly to the GHG Protocol and incorporating the latest 2026 Land Sector and Removals (LSR) Standard updates. The primary objective is to quantify the greenhouse gas (GHG) emissions across the product\'s lifecycle, identify emission hotspots, and provide a foundation for strategic decarbonization efforts. The assessment covers a factory_gate system boundary with a global geographic scope focusing on a supply chain from China to Europe. Key findings highlight material acquisition, production, transport, and use phases as significant contributors to the overall footprint.</w:t>
      </w:r>
    </w:p>
    <w:p>
      <w:r>
        <w:pict>
          <v:rect style="width:0;height:1.5pt" o:hralign="center" o:hrstd="t" o:hr="t"/>
        </w:pict>
      </w:r>
    </w:p>
    <w:bookmarkEnd w:id="21"/>
    <w:bookmarkStart w:id="28" w:name="methodology-and-scope-definition"/>
    <w:p>
      <w:pPr>
        <w:pStyle w:val="Heading2"/>
      </w:pPr>
      <w:r>
        <w:t xml:space="preserve">1. Methodology and Scope Definition</w:t>
      </w:r>
    </w:p>
    <w:p>
      <w:pPr>
        <w:pStyle w:val="FirstParagraph"/>
      </w:pPr>
      <w:r>
        <w:t xml:space="preserve">The Product Carbon Footprint (PCF) analysis for nigtfodjxq follows a cradle-to-gate approach within the defined system boundary, adhering to the GHG Protocol\'s Product Standard. This methodology ensures a comprehensive assessment of GHG emissions associated with the product\'s entire lifecycle up to its exit from the factory gate, with additional analysis for the downstream use and end-of-life phases.</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nigtfodjxq</w:t>
      </w:r>
      <w:r>
        <w:t xml:space="preserve">.</w:t>
      </w:r>
    </w:p>
    <w:bookmarkEnd w:id="22"/>
    <w:bookmarkStart w:id="23" w:name="system-boundary"/>
    <w:p>
      <w:pPr>
        <w:pStyle w:val="Heading3"/>
      </w:pPr>
      <w:r>
        <w:t xml:space="preserve">1.2. System Boundary</w:t>
      </w:r>
    </w:p>
    <w:p>
      <w:pPr>
        <w:pStyle w:val="FirstParagraph"/>
      </w:pPr>
      <w:r>
        <w:t xml:space="preserve">The system boundary for this assessment is</w:t>
      </w:r>
      <w:r>
        <w:t xml:space="preserve"> </w:t>
      </w:r>
      <w:r>
        <w:rPr>
          <w:bCs/>
          <w:b/>
        </w:rPr>
        <w:t xml:space="preserve">factory_gate</w:t>
      </w:r>
      <w:r>
        <w:t xml:space="preserve">. This includes raw material extraction, pre-processing, manufacturing, and all associated upstream transportation up to the point the finished product leaves the manufacturing facility. For a holistic view, additional downstream phases (transport to customer, use phase, and end-of-life) are also analyzed.</w:t>
      </w:r>
    </w:p>
    <w:bookmarkEnd w:id="23"/>
    <w:bookmarkStart w:id="24" w:name="geographic-scope"/>
    <w:p>
      <w:pPr>
        <w:pStyle w:val="Heading3"/>
      </w:pPr>
      <w:r>
        <w:t xml:space="preserve">1.3. Geographic Scope</w:t>
      </w:r>
    </w:p>
    <w:p>
      <w:pPr>
        <w:pStyle w:val="FirstParagraph"/>
      </w:pPr>
      <w:r>
        <w:t xml:space="preserve">The geographic scope covers a</w:t>
      </w:r>
      <w:r>
        <w:t xml:space="preserve"> </w:t>
      </w:r>
      <w:r>
        <w:rPr>
          <w:bCs/>
          <w:b/>
        </w:rPr>
        <w:t xml:space="preserve">Final Production Country: China</w:t>
      </w:r>
      <w:r>
        <w:t xml:space="preserve">, with a</w:t>
      </w:r>
      <w:r>
        <w:t xml:space="preserve"> </w:t>
      </w:r>
      <w:r>
        <w:rPr>
          <w:bCs/>
          <w:b/>
        </w:rPr>
        <w:t xml:space="preserve">Supply Chain Focus: Europe Focused</w:t>
      </w:r>
      <w:r>
        <w:t xml:space="preserve">. This implies that manufacturing occurs in China, and transport and subsequent lifecycle stages are often destined for or take place within Europe.</w:t>
      </w:r>
    </w:p>
    <w:bookmarkEnd w:id="24"/>
    <w:bookmarkStart w:id="25" w:name="accounting-standard"/>
    <w:p>
      <w:pPr>
        <w:pStyle w:val="Heading3"/>
      </w:pPr>
      <w:r>
        <w:t xml:space="preserve">1.4. Accounting Standard</w:t>
      </w:r>
    </w:p>
    <w:p>
      <w:pPr>
        <w:pStyle w:val="FirstParagraph"/>
      </w:pPr>
      <w:r>
        <w:t xml:space="preserve">This analysis strictly adheres to the</w:t>
      </w:r>
      <w:r>
        <w:t xml:space="preserve"> </w:t>
      </w:r>
      <w:r>
        <w:rPr>
          <w:bCs/>
          <w:b/>
        </w:rPr>
        <w:t xml:space="preserve">GHG Protocol</w:t>
      </w:r>
      <w:r>
        <w:t xml:space="preserve">, ensuring emissions are categorized into Scope 1 (direct emissions from owned or controlled sources), Scope 2 (indirect emissions from the generation of purchased energy), and Scope 3 (all other indirect emissions that occur in the value chain, both upstream and downstream).</w:t>
      </w:r>
    </w:p>
    <w:bookmarkEnd w:id="25"/>
    <w:bookmarkStart w:id="26" w:name="allocation"/>
    <w:p>
      <w:pPr>
        <w:pStyle w:val="Heading3"/>
      </w:pPr>
      <w:r>
        <w:t xml:space="preserve">1.5. Allocation</w:t>
      </w:r>
    </w:p>
    <w:p>
      <w:pPr>
        <w:pStyle w:val="FirstParagraph"/>
      </w:pPr>
      <w:r>
        <w:t xml:space="preserve">Emissions are allocated directly to the functional unit based on mass and energy consumption. Co-product and recycling allocations are handled in accordance with GHG Protocol guidance, particularly concerning end-of-life scenarios.</w:t>
      </w:r>
    </w:p>
    <w:bookmarkEnd w:id="26"/>
    <w:bookmarkStart w:id="27" w:name="lsr-update-scope-3-compliance"/>
    <w:p>
      <w:pPr>
        <w:pStyle w:val="Heading3"/>
      </w:pPr>
      <w:r>
        <w:t xml:space="preserve">1.6. 2026 LSR Update &amp; Scope 3 Compliance</w:t>
      </w:r>
    </w:p>
    <w:p>
      <w:pPr>
        <w:pStyle w:val="FirstParagraph"/>
      </w:pPr>
      <w:r>
        <w:t xml:space="preserve">In line with the 2026 Land Sector and Removals (LSR) Standard update, land use and carbon removals are considered where relevant, although specific data for these was not provided for this product. Furthermore, the report ensures at least 95% coverage for Scope 3 reporting, as mandated by 2026 requirements, by including comprehensive upstream and downstream categories.</w:t>
      </w:r>
    </w:p>
    <w:p>
      <w:r>
        <w:pict>
          <v:rect style="width:0;height:1.5pt" o:hralign="center" o:hrstd="t" o:hr="t"/>
        </w:pict>
      </w:r>
    </w:p>
    <w:bookmarkEnd w:id="27"/>
    <w:bookmarkEnd w:id="28"/>
    <w:bookmarkStart w:id="32" w:name="lifecycle-mapping-and-data-collection"/>
    <w:p>
      <w:pPr>
        <w:pStyle w:val="Heading2"/>
      </w:pPr>
      <w:r>
        <w:t xml:space="preserve">2. Lifecycle Mapping and Data Collection</w:t>
      </w:r>
    </w:p>
    <w:p>
      <w:pPr>
        <w:pStyle w:val="FirstParagraph"/>
      </w:pPr>
      <w:r>
        <w:t xml:space="preserve">The lifecycle of nigtfodjxq is mapped across five key stages, from material acquisition to end-of-life. Data collection combines primary data points (where provided as specific parameters) with secondary, industry-average emission factors for high accuracy.</w:t>
      </w:r>
    </w:p>
    <w:bookmarkStart w:id="29" w:name="Xe72968be4f04d6dcaa239b73d2c6d3d451756a2"/>
    <w:p>
      <w:pPr>
        <w:pStyle w:val="Heading3"/>
      </w:pPr>
      <w:r>
        <w:t xml:space="preserve">2.1. Illustrative Data Assumptions (Based on provided placeholders)</w:t>
      </w:r>
    </w:p>
    <w:p>
      <w:pPr>
        <w:pStyle w:val="FirstParagraph"/>
      </w:pPr>
      <w:r>
        <w:t xml:space="preserve">Due to the nature of some input parameters being placeholders, illustrative data, guided by industry averages and plausible scenarios for a small electronic device (assumed for nigtfodjxq), has been used to perform the calculations. This ensures the methodology is demonstrated effectively. The weight of one functional unit of nigtfodjxq is assumed to be 0.5 kg for transport calculations.</w:t>
      </w:r>
    </w:p>
    <w:p>
      <w:pPr>
        <w:numPr>
          <w:ilvl w:val="0"/>
          <w:numId w:val="1001"/>
        </w:numPr>
        <w:pStyle w:val="Compact"/>
      </w:pPr>
      <w:r>
        <w:rPr>
          <w:bCs/>
          <w:b/>
        </w:rPr>
        <w:t xml:space="preserve">Transport Mode (Primary):</w:t>
      </w:r>
      <w:r>
        <w:t xml:space="preserve"> </w:t>
      </w:r>
      <w:r>
        <w:t xml:space="preserve">Sea Freight</w:t>
      </w:r>
    </w:p>
    <w:p>
      <w:pPr>
        <w:numPr>
          <w:ilvl w:val="0"/>
          <w:numId w:val="1001"/>
        </w:numPr>
        <w:pStyle w:val="Compact"/>
      </w:pPr>
      <w:r>
        <w:rPr>
          <w:bCs/>
          <w:b/>
        </w:rPr>
        <w:t xml:space="preserve">Transport Distance (Primary):</w:t>
      </w:r>
      <w:r>
        <w:t xml:space="preserve"> </w:t>
      </w:r>
      <w:r>
        <w:t xml:space="preserve">15,000 km (e.g., China to Europe)</w:t>
      </w:r>
    </w:p>
    <w:p>
      <w:pPr>
        <w:numPr>
          <w:ilvl w:val="0"/>
          <w:numId w:val="1001"/>
        </w:numPr>
        <w:pStyle w:val="Compact"/>
      </w:pPr>
      <w:r>
        <w:rPr>
          <w:bCs/>
          <w:b/>
        </w:rPr>
        <w:t xml:space="preserve">Last-Mile Delivery Channel:</w:t>
      </w:r>
      <w:r>
        <w:t xml:space="preserve"> </w:t>
      </w:r>
      <w:r>
        <w:t xml:space="preserve">Heavy Goods Vehicle (HGV)</w:t>
      </w:r>
    </w:p>
    <w:p>
      <w:pPr>
        <w:numPr>
          <w:ilvl w:val="0"/>
          <w:numId w:val="1001"/>
        </w:numPr>
        <w:pStyle w:val="Compact"/>
      </w:pPr>
      <w:r>
        <w:rPr>
          <w:bCs/>
          <w:b/>
        </w:rPr>
        <w:t xml:space="preserve">Last-Mile Delivery Distance:</w:t>
      </w:r>
      <w:r>
        <w:t xml:space="preserve"> </w:t>
      </w:r>
      <w:r>
        <w:t xml:space="preserve">500 km (within Europe)</w:t>
      </w:r>
    </w:p>
    <w:p>
      <w:pPr>
        <w:numPr>
          <w:ilvl w:val="0"/>
          <w:numId w:val="1001"/>
        </w:numPr>
        <w:pStyle w:val="Compact"/>
      </w:pPr>
      <w:r>
        <w:rPr>
          <w:bCs/>
          <w:b/>
        </w:rPr>
        <w:t xml:space="preserve">Renewable Energy Usage (Production):</w:t>
      </w:r>
      <w:r>
        <w:t xml:space="preserve"> </w:t>
      </w:r>
      <w:r>
        <w:t xml:space="preserve">40%</w:t>
      </w:r>
    </w:p>
    <w:p>
      <w:pPr>
        <w:numPr>
          <w:ilvl w:val="0"/>
          <w:numId w:val="1001"/>
        </w:numPr>
        <w:pStyle w:val="Compact"/>
      </w:pPr>
      <w:r>
        <w:rPr>
          <w:bCs/>
          <w:b/>
        </w:rPr>
        <w:t xml:space="preserve">Energy Intensity (Production, kWh/unit):</w:t>
      </w:r>
      <w:r>
        <w:t xml:space="preserve"> </w:t>
      </w:r>
      <w:r>
        <w:t xml:space="preserve">25 kWh/unit</w:t>
      </w:r>
    </w:p>
    <w:p>
      <w:pPr>
        <w:numPr>
          <w:ilvl w:val="0"/>
          <w:numId w:val="1001"/>
        </w:numPr>
        <w:pStyle w:val="Compact"/>
      </w:pPr>
      <w:r>
        <w:rPr>
          <w:bCs/>
          <w:b/>
        </w:rPr>
        <w:t xml:space="preserve">Product Lifespan:</w:t>
      </w:r>
      <w:r>
        <w:t xml:space="preserve"> </w:t>
      </w:r>
      <w:r>
        <w:t xml:space="preserve">5 years</w:t>
      </w:r>
    </w:p>
    <w:p>
      <w:pPr>
        <w:numPr>
          <w:ilvl w:val="0"/>
          <w:numId w:val="1001"/>
        </w:numPr>
        <w:pStyle w:val="Compact"/>
      </w:pPr>
      <w:r>
        <w:rPr>
          <w:bCs/>
          <w:b/>
        </w:rPr>
        <w:t xml:space="preserve">Energy Consumption in Use:</w:t>
      </w:r>
      <w:r>
        <w:t xml:space="preserve"> </w:t>
      </w:r>
      <w:r>
        <w:t xml:space="preserve">10 kWh/year</w:t>
      </w:r>
    </w:p>
    <w:p>
      <w:pPr>
        <w:numPr>
          <w:ilvl w:val="0"/>
          <w:numId w:val="1001"/>
        </w:numPr>
        <w:pStyle w:val="Compact"/>
      </w:pPr>
      <w:r>
        <w:rPr>
          <w:bCs/>
          <w:b/>
        </w:rPr>
        <w:t xml:space="preserve">Recyclability Percentage:</w:t>
      </w:r>
      <w:r>
        <w:t xml:space="preserve"> </w:t>
      </w:r>
      <w:r>
        <w:t xml:space="preserve">70%</w:t>
      </w:r>
    </w:p>
    <w:p>
      <w:pPr>
        <w:numPr>
          <w:ilvl w:val="0"/>
          <w:numId w:val="1001"/>
        </w:numPr>
        <w:pStyle w:val="Compact"/>
      </w:pPr>
      <w:r>
        <w:rPr>
          <w:bCs/>
          <w:b/>
        </w:rPr>
        <w:t xml:space="preserve">Circular/Take-back Programs:</w:t>
      </w:r>
      <w:r>
        <w:t xml:space="preserve"> </w:t>
      </w:r>
      <w:r>
        <w:t xml:space="preserve">qzlhfydqzq operates a robust product take-back program across Europe, aiming to recover materials for recycling and reuse, thereby minimizing waste and maximizing resource efficiency.</w:t>
      </w:r>
    </w:p>
    <w:bookmarkEnd w:id="29"/>
    <w:bookmarkStart w:id="30" w:name="Xa692941d7b46e1d7a2303e4d4b605911daa4504"/>
    <w:p>
      <w:pPr>
        <w:pStyle w:val="Heading3"/>
      </w:pPr>
      <w:r>
        <w:t xml:space="preserve">2.2. Detailed Bill of Materials (BOM): ixhlyolt (Illustrative Data)</w:t>
      </w:r>
    </w:p>
    <w:p>
      <w:pPr>
        <w:pStyle w:val="FirstParagraph"/>
      </w:pPr>
      <w:r>
        <w:t xml:space="preserve">The provided placeholder "ixhlyolt" for the Detailed Bill of Materials has been populated with illustrative material data to demonstrate high-accuracy material impact calculations. These values represent typical components for a small electronic product like \'nigtfodjxq\'. The \'Total Carbon\' values are calculated based on \'Qty *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0.20</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M002</w:t>
            </w:r>
          </w:p>
        </w:tc>
        <w:tc>
          <w:tcPr/>
          <w:p>
            <w:pPr>
              <w:pStyle w:val="Compact"/>
              <w:jc w:val="left"/>
            </w:pPr>
            <w:r>
              <w:t xml:space="preserve">Steel Components</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1.8</w:t>
            </w:r>
          </w:p>
        </w:tc>
        <w:tc>
          <w:tcPr/>
          <w:p>
            <w:pPr>
              <w:pStyle w:val="Compact"/>
              <w:jc w:val="left"/>
            </w:pPr>
            <w:r>
              <w:t xml:space="preserve">0.18</w:t>
            </w:r>
          </w:p>
        </w:tc>
      </w:tr>
      <w:tr>
        <w:tc>
          <w:tcPr/>
          <w:p>
            <w:pPr>
              <w:pStyle w:val="Compact"/>
              <w:jc w:val="left"/>
            </w:pPr>
            <w:r>
              <w:t xml:space="preserve">M003</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3.5</w:t>
            </w:r>
          </w:p>
        </w:tc>
        <w:tc>
          <w:tcPr/>
          <w:p>
            <w:pPr>
              <w:pStyle w:val="Compact"/>
              <w:jc w:val="left"/>
            </w:pPr>
            <w:r>
              <w:t xml:space="preserve">0.525</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3.5</w:t>
            </w:r>
          </w:p>
        </w:tc>
        <w:tc>
          <w:tcPr/>
          <w:p>
            <w:pPr>
              <w:pStyle w:val="Compact"/>
              <w:jc w:val="left"/>
            </w:pPr>
            <w:r>
              <w:t xml:space="preserve">0.105</w:t>
            </w:r>
          </w:p>
        </w:tc>
      </w:tr>
      <w:tr>
        <w:tc>
          <w:tcPr/>
          <w:p>
            <w:pPr>
              <w:pStyle w:val="Compact"/>
              <w:jc w:val="left"/>
            </w:pPr>
            <w:r>
              <w:t xml:space="preserve">M005</w:t>
            </w:r>
          </w:p>
        </w:tc>
        <w:tc>
          <w:tcPr/>
          <w:p>
            <w:pPr>
              <w:pStyle w:val="Compact"/>
              <w:jc w:val="left"/>
            </w:pPr>
            <w:r>
              <w:t xml:space="preserve">Silicon Chip</w:t>
            </w:r>
          </w:p>
        </w:tc>
        <w:tc>
          <w:tcPr/>
          <w:p>
            <w:pPr>
              <w:pStyle w:val="Compact"/>
              <w:jc w:val="left"/>
            </w:pPr>
            <w:r>
              <w:t xml:space="preserve">Semiconductor</w:t>
            </w:r>
          </w:p>
        </w:tc>
        <w:tc>
          <w:tcPr/>
          <w:p>
            <w:pPr>
              <w:pStyle w:val="Compact"/>
              <w:jc w:val="left"/>
            </w:pPr>
            <w:r>
              <w:t xml:space="preserve">Fabrication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0.05</w:t>
            </w:r>
          </w:p>
        </w:tc>
      </w:tr>
      <w:tr>
        <w:tc>
          <w:tcPr/>
          <w:p>
            <w:pPr>
              <w:pStyle w:val="Compact"/>
              <w:jc w:val="left"/>
            </w:pPr>
            <w:r>
              <w:t xml:space="preserve">M006</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Corrugation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0.01</w:t>
            </w:r>
          </w:p>
        </w:tc>
      </w:tr>
    </w:tbl>
    <w:p>
      <w:pPr>
        <w:pStyle w:val="BodyText"/>
      </w:pPr>
      <w:r>
        <w:t xml:space="preserve">Total mass of product (functional unit) = 0.20 + 0.10 + 0.15 + 0.03 + 0.01 + 0.01 = 0.5 kg</w:t>
      </w:r>
    </w:p>
    <w:p>
      <w:pPr>
        <w:pStyle w:val="BodyText"/>
      </w:pPr>
      <w:r>
        <w:t xml:space="preserve">Total material emissions = 3.0 + 0.18 + 0.525 + 0.105 + 0.05 + 0.01 = 3.87 kg CO2e</w:t>
      </w:r>
    </w:p>
    <w:bookmarkEnd w:id="30"/>
    <w:bookmarkStart w:id="31" w:name="Xf5a6c3453857ae1b10b6191732c21fde022acc7"/>
    <w:p>
      <w:pPr>
        <w:pStyle w:val="Heading3"/>
      </w:pPr>
      <w:r>
        <w:t xml:space="preserve">2.3. Energy Inputs and Emission Factors (Illustrative)</w:t>
      </w:r>
    </w:p>
    <w:p>
      <w:pPr>
        <w:pStyle w:val="FirstParagraph"/>
      </w:pPr>
      <w:r>
        <w:t xml:space="preserve">Industry-standard emission factors (e.g., comparable to Ecoinvent/DEFRA data) have been utilized for calculations.</w:t>
      </w:r>
    </w:p>
    <w:p>
      <w:pPr>
        <w:numPr>
          <w:ilvl w:val="0"/>
          <w:numId w:val="1002"/>
        </w:numPr>
        <w:pStyle w:val="Compact"/>
      </w:pPr>
      <w:r>
        <w:t xml:space="preserve">China Grid Electricity Emission Factor: 0.6 kg CO2e/kWh</w:t>
      </w:r>
    </w:p>
    <w:p>
      <w:pPr>
        <w:numPr>
          <w:ilvl w:val="0"/>
          <w:numId w:val="1002"/>
        </w:numPr>
        <w:pStyle w:val="Compact"/>
      </w:pPr>
      <w:r>
        <w:t xml:space="preserve">European Grid Electricity Emission Factor (Use Phase): 0.2 kg CO2e/kWh</w:t>
      </w:r>
    </w:p>
    <w:p>
      <w:pPr>
        <w:numPr>
          <w:ilvl w:val="0"/>
          <w:numId w:val="1002"/>
        </w:numPr>
        <w:pStyle w:val="Compact"/>
      </w:pPr>
      <w:r>
        <w:t xml:space="preserve">Sea Freight Emission Factor: 0.016 kg CO2e/tonne-km</w:t>
      </w:r>
    </w:p>
    <w:p>
      <w:pPr>
        <w:numPr>
          <w:ilvl w:val="0"/>
          <w:numId w:val="1002"/>
        </w:numPr>
        <w:pStyle w:val="Compact"/>
      </w:pPr>
      <w:r>
        <w:t xml:space="preserve">Heavy Goods Vehicle (HGV) Emission Factor: 0.08 kg CO2e/tonne-km</w:t>
      </w:r>
    </w:p>
    <w:p>
      <w:r>
        <w:pict>
          <v:rect style="width:0;height:1.5pt" o:hralign="center" o:hrstd="t" o:hr="t"/>
        </w:pict>
      </w:r>
    </w:p>
    <w:bookmarkEnd w:id="31"/>
    <w:bookmarkEnd w:id="32"/>
    <w:bookmarkStart w:id="40" w:name="calculation-of-emissions"/>
    <w:p>
      <w:pPr>
        <w:pStyle w:val="Heading2"/>
      </w:pPr>
      <w:r>
        <w:t xml:space="preserve">3. Calculation of Emissions</w:t>
      </w:r>
    </w:p>
    <w:p>
      <w:pPr>
        <w:pStyle w:val="FirstParagraph"/>
      </w:pPr>
      <w:r>
        <w:t xml:space="preserve">Emissions are calculated for each lifecycle stage (Activity Data × Emission Factor = CO2e) and categorized according to the GHG Protocol Scopes.</w:t>
      </w:r>
    </w:p>
    <w:bookmarkStart w:id="33" w:name="X57d8a18558d4453472e446932bb4e4bfaeda8f7"/>
    <w:p>
      <w:pPr>
        <w:pStyle w:val="Heading3"/>
      </w:pPr>
      <w:r>
        <w:t xml:space="preserve">3.1. A. Material Acquisition &amp; Pre-processing (Scope 3 Upstream: Purchased Goods &amp; Services)</w:t>
      </w:r>
    </w:p>
    <w:p>
      <w:pPr>
        <w:pStyle w:val="FirstParagraph"/>
      </w:pPr>
      <w:r>
        <w:t xml:space="preserve">This stage accounts for the extraction, processing, and manufacturing of all raw materials used in nigtfodjxq, as detailed in the illustrative BOM. These are classified as Scope 3 emissions.</w:t>
      </w:r>
    </w:p>
    <w:p>
      <w:pPr>
        <w:pStyle w:val="BodyText"/>
      </w:pPr>
      <w:r>
        <w:rPr>
          <w:bCs/>
          <w:b/>
        </w:rPr>
        <w:t xml:space="preserve">Total Material Emissions: 3.87 kg CO2e</w:t>
      </w:r>
    </w:p>
    <w:bookmarkEnd w:id="33"/>
    <w:bookmarkStart w:id="34" w:name="b.-production-phase-scope-1-2"/>
    <w:p>
      <w:pPr>
        <w:pStyle w:val="Heading3"/>
      </w:pPr>
      <w:r>
        <w:t xml:space="preserve">3.2. B. Production Phase (Scope 1 &amp; 2)</w:t>
      </w:r>
    </w:p>
    <w:p>
      <w:pPr>
        <w:pStyle w:val="FirstParagraph"/>
      </w:pPr>
      <w:r>
        <w:t xml:space="preserve">The production phase covers the energy consumed at the manufacturing facility in China. This includes purchased electricity (Scope 2) and any direct emissions from owned/controlled sources (Scope 1). Given no specific Scope 1 data, the focus is on Scope 2 from electricity consumption.</w:t>
      </w:r>
    </w:p>
    <w:p>
      <w:pPr>
        <w:numPr>
          <w:ilvl w:val="0"/>
          <w:numId w:val="1003"/>
        </w:numPr>
        <w:pStyle w:val="Compact"/>
      </w:pPr>
      <w:r>
        <w:t xml:space="preserve">Energy Intensity (kWh/unit): 25 kWh/unit (izxjhiguet)</w:t>
      </w:r>
    </w:p>
    <w:p>
      <w:pPr>
        <w:numPr>
          <w:ilvl w:val="0"/>
          <w:numId w:val="1003"/>
        </w:numPr>
        <w:pStyle w:val="Compact"/>
      </w:pPr>
      <w:r>
        <w:t xml:space="preserve">Renewable Energy Usage: 40% (wdxkwqfyfg)</w:t>
      </w:r>
    </w:p>
    <w:p>
      <w:pPr>
        <w:numPr>
          <w:ilvl w:val="0"/>
          <w:numId w:val="1003"/>
        </w:numPr>
        <w:pStyle w:val="Compact"/>
      </w:pPr>
      <w:r>
        <w:t xml:space="preserve">Non-renewable electricity usage: 25 kWh * (1 - 0.40) = 15 kWh</w:t>
      </w:r>
    </w:p>
    <w:p>
      <w:pPr>
        <w:numPr>
          <w:ilvl w:val="0"/>
          <w:numId w:val="1003"/>
        </w:numPr>
        <w:pStyle w:val="Compact"/>
      </w:pPr>
      <w:r>
        <w:t xml:space="preserve">China Grid Electricity Emission Factor: 0.6 kg CO2e/kWh</w:t>
      </w:r>
    </w:p>
    <w:p>
      <w:pPr>
        <w:numPr>
          <w:ilvl w:val="0"/>
          <w:numId w:val="1003"/>
        </w:numPr>
        <w:pStyle w:val="Compact"/>
      </w:pPr>
      <w:r>
        <w:t xml:space="preserve">Scope 2 Emissions = 15 kWh/unit * 0.6 kg CO2e/kWh = 9.0 kg CO2e/unit</w:t>
      </w:r>
    </w:p>
    <w:p>
      <w:pPr>
        <w:pStyle w:val="FirstParagraph"/>
      </w:pPr>
      <w:r>
        <w:rPr>
          <w:bCs/>
          <w:b/>
        </w:rPr>
        <w:t xml:space="preserve">Total Production Emissions (Scope 2): 9.0 kg CO2e</w:t>
      </w:r>
    </w:p>
    <w:p>
      <w:pPr>
        <w:pStyle w:val="BodyText"/>
      </w:pPr>
      <w:r>
        <w:rPr>
          <w:iCs/>
          <w:i/>
        </w:rPr>
        <w:t xml:space="preserve">Note: Scope 1 emissions for on-site combustion are assumed negligible or zero as no specific data was provided. If applicable, this would need to be added.</w:t>
      </w:r>
    </w:p>
    <w:bookmarkEnd w:id="34"/>
    <w:bookmarkStart w:id="37" w:name="X8943ea55b93cb3de45c0e5d05f9e86ada217c53"/>
    <w:p>
      <w:pPr>
        <w:pStyle w:val="Heading3"/>
      </w:pPr>
      <w:r>
        <w:t xml:space="preserve">3.3. C. Transport (Scope 3 Upstream: Transportation &amp; Distribution)</w:t>
      </w:r>
    </w:p>
    <w:p>
      <w:pPr>
        <w:pStyle w:val="FirstParagraph"/>
      </w:pPr>
      <w:r>
        <w:t xml:space="preserve">This includes primary transport from China to Europe and last-mile delivery within Europe for the finished product. The weight of the functional unit is 0.5 kg.</w:t>
      </w:r>
    </w:p>
    <w:bookmarkStart w:id="35" w:name="X764afe4159bc04ee84b01a621ea82cf3619f5f9"/>
    <w:p>
      <w:pPr>
        <w:pStyle w:val="Heading4"/>
      </w:pPr>
      <w:r>
        <w:t xml:space="preserve">3.3.1. Primary Transport (Sea Freight: China to Europe)</w:t>
      </w:r>
    </w:p>
    <w:p>
      <w:pPr>
        <w:numPr>
          <w:ilvl w:val="0"/>
          <w:numId w:val="1004"/>
        </w:numPr>
        <w:pStyle w:val="Compact"/>
      </w:pPr>
      <w:r>
        <w:t xml:space="preserve">Transport Mode: Sea Freight (Select Mode)</w:t>
      </w:r>
    </w:p>
    <w:p>
      <w:pPr>
        <w:numPr>
          <w:ilvl w:val="0"/>
          <w:numId w:val="1004"/>
        </w:numPr>
        <w:pStyle w:val="Compact"/>
      </w:pPr>
      <w:r>
        <w:t xml:space="preserve">Transport Distance: 15,000 km (rdpkwntjfj)</w:t>
      </w:r>
    </w:p>
    <w:p>
      <w:pPr>
        <w:numPr>
          <w:ilvl w:val="0"/>
          <w:numId w:val="1004"/>
        </w:numPr>
        <w:pStyle w:val="Compact"/>
      </w:pPr>
      <w:r>
        <w:t xml:space="preserve">Product weight: 0.5 kg = 0.0005 tonnes</w:t>
      </w:r>
    </w:p>
    <w:p>
      <w:pPr>
        <w:numPr>
          <w:ilvl w:val="0"/>
          <w:numId w:val="1004"/>
        </w:numPr>
        <w:pStyle w:val="Compact"/>
      </w:pPr>
      <w:r>
        <w:t xml:space="preserve">Sea Freight Emission Factor: 0.016 kg CO2e/tonne-km</w:t>
      </w:r>
    </w:p>
    <w:p>
      <w:pPr>
        <w:numPr>
          <w:ilvl w:val="0"/>
          <w:numId w:val="1004"/>
        </w:numPr>
        <w:pStyle w:val="Compact"/>
      </w:pPr>
      <w:r>
        <w:t xml:space="preserve">Emissions = 0.0005 tonnes * 15,000 km * 0.016 kg CO2e/tonne-km = 0.12 kg CO2e</w:t>
      </w:r>
    </w:p>
    <w:p>
      <w:pPr>
        <w:pStyle w:val="FirstParagraph"/>
      </w:pPr>
      <w:r>
        <w:rPr>
          <w:bCs/>
          <w:b/>
        </w:rPr>
        <w:t xml:space="preserve">Primary Transport Emissions: 0.12 kg CO2e</w:t>
      </w:r>
    </w:p>
    <w:bookmarkEnd w:id="35"/>
    <w:bookmarkStart w:id="36" w:name="X961b3e1c5f49d3e53308c5c11594aa440ab4885"/>
    <w:p>
      <w:pPr>
        <w:pStyle w:val="Heading4"/>
      </w:pPr>
      <w:r>
        <w:t xml:space="preserve">3.3.2. Last-Mile Delivery (Heavy Goods Vehicle: Within Europe)</w:t>
      </w:r>
    </w:p>
    <w:p>
      <w:pPr>
        <w:numPr>
          <w:ilvl w:val="0"/>
          <w:numId w:val="1005"/>
        </w:numPr>
        <w:pStyle w:val="Compact"/>
      </w:pPr>
      <w:r>
        <w:t xml:space="preserve">Last-Mile Delivery Channel: Heavy Goods Vehicle (Delivery Type)</w:t>
      </w:r>
    </w:p>
    <w:p>
      <w:pPr>
        <w:numPr>
          <w:ilvl w:val="0"/>
          <w:numId w:val="1005"/>
        </w:numPr>
        <w:pStyle w:val="Compact"/>
      </w:pPr>
      <w:r>
        <w:t xml:space="preserve">Last-Mile Distance: 500 km (illustrative)</w:t>
      </w:r>
    </w:p>
    <w:p>
      <w:pPr>
        <w:numPr>
          <w:ilvl w:val="0"/>
          <w:numId w:val="1005"/>
        </w:numPr>
        <w:pStyle w:val="Compact"/>
      </w:pPr>
      <w:r>
        <w:t xml:space="preserve">Product weight: 0.5 kg = 0.0005 tonnes</w:t>
      </w:r>
    </w:p>
    <w:p>
      <w:pPr>
        <w:numPr>
          <w:ilvl w:val="0"/>
          <w:numId w:val="1005"/>
        </w:numPr>
        <w:pStyle w:val="Compact"/>
      </w:pPr>
      <w:r>
        <w:t xml:space="preserve">HGV Emission Factor: 0.08 kg CO2e/tonne-km</w:t>
      </w:r>
    </w:p>
    <w:p>
      <w:pPr>
        <w:numPr>
          <w:ilvl w:val="0"/>
          <w:numId w:val="1005"/>
        </w:numPr>
        <w:pStyle w:val="Compact"/>
      </w:pPr>
      <w:r>
        <w:t xml:space="preserve">Emissions = 0.0005 tonnes * 500 km * 0.08 kg CO2e/tonne-km = 0.02 kg CO2e</w:t>
      </w:r>
    </w:p>
    <w:p>
      <w:pPr>
        <w:pStyle w:val="FirstParagraph"/>
      </w:pPr>
      <w:r>
        <w:rPr>
          <w:bCs/>
          <w:b/>
        </w:rPr>
        <w:t xml:space="preserve">Last-Mile Delivery Emissions: 0.02 kg CO2e</w:t>
      </w:r>
    </w:p>
    <w:p>
      <w:pPr>
        <w:pStyle w:val="BodyText"/>
      </w:pPr>
      <w:r>
        <w:rPr>
          <w:bCs/>
          <w:b/>
        </w:rPr>
        <w:t xml:space="preserve">Total Transport Emissions (Scope 3): 0.12 + 0.02 = 0.14 kg CO2e</w:t>
      </w:r>
    </w:p>
    <w:bookmarkEnd w:id="36"/>
    <w:bookmarkEnd w:id="37"/>
    <w:bookmarkStart w:id="38" w:name="X1b6e3dfe58cb1b61f7f843ab439e096a174d959"/>
    <w:p>
      <w:pPr>
        <w:pStyle w:val="Heading3"/>
      </w:pPr>
      <w:r>
        <w:t xml:space="preserve">3.4. D. Use Phase (Scope 3 Downstream: Use of Sold Products)</w:t>
      </w:r>
    </w:p>
    <w:p>
      <w:pPr>
        <w:pStyle w:val="FirstParagraph"/>
      </w:pPr>
      <w:r>
        <w:t xml:space="preserve">The use phase accounts for electricity consumed by the product during its lifespan in the hands of the end-user.</w:t>
      </w:r>
    </w:p>
    <w:p>
      <w:pPr>
        <w:numPr>
          <w:ilvl w:val="0"/>
          <w:numId w:val="1006"/>
        </w:numPr>
        <w:pStyle w:val="Compact"/>
      </w:pPr>
      <w:r>
        <w:t xml:space="preserve">Product Lifespan: 5 years (tsyzuzreyj)</w:t>
      </w:r>
    </w:p>
    <w:p>
      <w:pPr>
        <w:numPr>
          <w:ilvl w:val="0"/>
          <w:numId w:val="1006"/>
        </w:numPr>
        <w:pStyle w:val="Compact"/>
      </w:pPr>
      <w:r>
        <w:t xml:space="preserve">Energy Consumption in Use: 10 kWh/year (rigzryysjt)</w:t>
      </w:r>
    </w:p>
    <w:p>
      <w:pPr>
        <w:numPr>
          <w:ilvl w:val="0"/>
          <w:numId w:val="1006"/>
        </w:numPr>
        <w:pStyle w:val="Compact"/>
      </w:pPr>
      <w:r>
        <w:t xml:space="preserve">European Grid Electricity Emission Factor (Use Phase): 0.2 kg CO2e/kWh</w:t>
      </w:r>
    </w:p>
    <w:p>
      <w:pPr>
        <w:numPr>
          <w:ilvl w:val="0"/>
          <w:numId w:val="1006"/>
        </w:numPr>
        <w:pStyle w:val="Compact"/>
      </w:pPr>
      <w:r>
        <w:t xml:space="preserve">Annual Use Phase Emissions = 10 kWh/year * 0.2 kg CO2e/kWh = 2.0 kg CO2e/year</w:t>
      </w:r>
    </w:p>
    <w:p>
      <w:pPr>
        <w:numPr>
          <w:ilvl w:val="0"/>
          <w:numId w:val="1006"/>
        </w:numPr>
        <w:pStyle w:val="Compact"/>
      </w:pPr>
      <w:r>
        <w:t xml:space="preserve">Total Use Phase Emissions = 2.0 kg CO2e/year * 5 years = 10.0 kg CO2e</w:t>
      </w:r>
    </w:p>
    <w:p>
      <w:pPr>
        <w:pStyle w:val="FirstParagraph"/>
      </w:pPr>
      <w:r>
        <w:rPr>
          <w:bCs/>
          <w:b/>
        </w:rPr>
        <w:t xml:space="preserve">Total Use Phase Emissions (Scope 3): 10.0 kg CO2e</w:t>
      </w:r>
    </w:p>
    <w:bookmarkEnd w:id="38"/>
    <w:bookmarkStart w:id="39" w:name="X455ba815840a6e2c2ca9d7df20bf95c532c4c79"/>
    <w:p>
      <w:pPr>
        <w:pStyle w:val="Heading3"/>
      </w:pPr>
      <w:r>
        <w:t xml:space="preserve">3.5. E. End-of-Life (EoL) (Scope 3 Downstream: End-of-Life Treatment of Sold Products)</w:t>
      </w:r>
    </w:p>
    <w:p>
      <w:pPr>
        <w:pStyle w:val="FirstParagraph"/>
      </w:pPr>
      <w:r>
        <w:t xml:space="preserve">This stage considers the impact of the product\'s disposal and recycling. Credits for recycling can be applied, reducing the overall footprint.</w:t>
      </w:r>
    </w:p>
    <w:p>
      <w:pPr>
        <w:numPr>
          <w:ilvl w:val="0"/>
          <w:numId w:val="1007"/>
        </w:numPr>
        <w:pStyle w:val="Compact"/>
      </w:pPr>
      <w:r>
        <w:t xml:space="preserve">Recyclability Percentage: 70% (rvvssqloiv)</w:t>
      </w:r>
    </w:p>
    <w:p>
      <w:pPr>
        <w:numPr>
          <w:ilvl w:val="0"/>
          <w:numId w:val="1007"/>
        </w:numPr>
        <w:pStyle w:val="Compact"/>
      </w:pPr>
      <w:r>
        <w:t xml:space="preserve">Circular/Take-back Programs: qzlhfydqzq operates a robust product take-back program.</w:t>
      </w:r>
    </w:p>
    <w:p>
      <w:pPr>
        <w:pStyle w:val="FirstParagraph"/>
      </w:pPr>
      <w:r>
        <w:t xml:space="preserve">Assuming an average EoL emission factor of 0.1 kg CO2e/kg for landfilling (for non-recycled portion) and an avoided emission factor of -1.0 kg CO2e/kg for recycled materials (reflecting virgin material displacement).</w:t>
      </w:r>
    </w:p>
    <w:p>
      <w:pPr>
        <w:numPr>
          <w:ilvl w:val="0"/>
          <w:numId w:val="1008"/>
        </w:numPr>
        <w:pStyle w:val="Compact"/>
      </w:pPr>
      <w:r>
        <w:t xml:space="preserve">Total product mass at EoL: 0.5 kg</w:t>
      </w:r>
    </w:p>
    <w:p>
      <w:pPr>
        <w:numPr>
          <w:ilvl w:val="0"/>
          <w:numId w:val="1008"/>
        </w:numPr>
        <w:pStyle w:val="Compact"/>
      </w:pPr>
      <w:r>
        <w:t xml:space="preserve">Mass recycled: 0.5 kg * 0.70 = 0.35 kg</w:t>
      </w:r>
    </w:p>
    <w:p>
      <w:pPr>
        <w:numPr>
          <w:ilvl w:val="0"/>
          <w:numId w:val="1008"/>
        </w:numPr>
        <w:pStyle w:val="Compact"/>
      </w:pPr>
      <w:r>
        <w:t xml:space="preserve">Mass to landfill: 0.5 kg * (1 - 0.70) = 0.15 kg</w:t>
      </w:r>
    </w:p>
    <w:p>
      <w:pPr>
        <w:numPr>
          <w:ilvl w:val="0"/>
          <w:numId w:val="1008"/>
        </w:numPr>
        <w:pStyle w:val="Compact"/>
      </w:pPr>
      <w:r>
        <w:t xml:space="preserve">Emissions from landfill: 0.15 kg * 0.1 kg CO2e/kg = 0.015 kg CO2e</w:t>
      </w:r>
    </w:p>
    <w:p>
      <w:pPr>
        <w:numPr>
          <w:ilvl w:val="0"/>
          <w:numId w:val="1008"/>
        </w:numPr>
        <w:pStyle w:val="Compact"/>
      </w:pPr>
      <w:r>
        <w:t xml:space="preserve">Avoided emissions from recycling (credit): 0.35 kg * (-1.0 kg CO2e/kg) = -0.35 kg CO2e</w:t>
      </w:r>
    </w:p>
    <w:p>
      <w:pPr>
        <w:pStyle w:val="FirstParagraph"/>
      </w:pPr>
      <w:r>
        <w:rPr>
          <w:bCs/>
          <w:b/>
        </w:rPr>
        <w:t xml:space="preserve">Total End-of-Life Emissions (Scope 3): 0.015 - 0.35 = -0.335 kg CO2e</w:t>
      </w:r>
    </w:p>
    <w:p>
      <w:pPr>
        <w:pStyle w:val="BodyText"/>
      </w:pPr>
      <w:r>
        <w:rPr>
          <w:iCs/>
          <w:i/>
        </w:rPr>
        <w:t xml:space="preserve">Note: The negative value indicates a net carbon benefit due to recycling, reflecting avoided emissions from virgin material production.</w:t>
      </w:r>
    </w:p>
    <w:p>
      <w:r>
        <w:pict>
          <v:rect style="width:0;height:1.5pt" o:hralign="center" o:hrstd="t" o:hr="t"/>
        </w:pict>
      </w:r>
    </w:p>
    <w:bookmarkEnd w:id="39"/>
    <w:bookmarkEnd w:id="40"/>
    <w:bookmarkStart w:id="44" w:name="review-report"/>
    <w:p>
      <w:pPr>
        <w:pStyle w:val="Heading2"/>
      </w:pPr>
      <w:r>
        <w:t xml:space="preserve">4. Review &amp; Report</w:t>
      </w:r>
    </w:p>
    <w:bookmarkStart w:id="41" w:name="Xaa6ceca80207a25c392bcf51496e0bcbfe47802"/>
    <w:p>
      <w:pPr>
        <w:pStyle w:val="Heading3"/>
      </w:pPr>
      <w:r>
        <w:t xml:space="preserve">4.1. Overall Product Carbon Footprint (PCF) Summary</w:t>
      </w:r>
    </w:p>
    <w:p>
      <w:pPr>
        <w:pStyle w:val="FirstParagraph"/>
      </w:pPr>
      <w:r>
        <w:t xml:space="preserve">The total Product Carbon Footprint for one functional unit of nigtfodjxq 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CO2e (kg)</w:t>
            </w:r>
          </w:p>
        </w:tc>
        <w:tc>
          <w:tcPr/>
          <w:p>
            <w:pPr>
              <w:pStyle w:val="Compact"/>
              <w:jc w:val="left"/>
            </w:pPr>
            <w:r>
              <w:t xml:space="preserve">GHG Scope</w:t>
            </w:r>
          </w:p>
        </w:tc>
      </w:tr>
      <w:tr>
        <w:tc>
          <w:tcPr/>
          <w:p>
            <w:pPr>
              <w:pStyle w:val="Compact"/>
              <w:jc w:val="left"/>
            </w:pPr>
            <w:r>
              <w:t xml:space="preserve">A. Material Acquisition &amp; Pre-processing</w:t>
            </w:r>
          </w:p>
        </w:tc>
        <w:tc>
          <w:tcPr/>
          <w:p>
            <w:pPr>
              <w:pStyle w:val="Compact"/>
              <w:jc w:val="left"/>
            </w:pPr>
            <w:r>
              <w:t xml:space="preserve">3.870</w:t>
            </w:r>
          </w:p>
        </w:tc>
        <w:tc>
          <w:tcPr/>
          <w:p>
            <w:pPr>
              <w:pStyle w:val="Compact"/>
              <w:jc w:val="left"/>
            </w:pPr>
            <w:r>
              <w:t xml:space="preserve">Scope 3 (Upstream)</w:t>
            </w:r>
          </w:p>
        </w:tc>
      </w:tr>
      <w:tr>
        <w:tc>
          <w:tcPr/>
          <w:p>
            <w:pPr>
              <w:pStyle w:val="Compact"/>
              <w:jc w:val="left"/>
            </w:pPr>
            <w:r>
              <w:t xml:space="preserve">B. Production Phase</w:t>
            </w:r>
          </w:p>
        </w:tc>
        <w:tc>
          <w:tcPr/>
          <w:p>
            <w:pPr>
              <w:pStyle w:val="Compact"/>
              <w:jc w:val="left"/>
            </w:pPr>
            <w:r>
              <w:t xml:space="preserve">9.000</w:t>
            </w:r>
          </w:p>
        </w:tc>
        <w:tc>
          <w:tcPr/>
          <w:p>
            <w:pPr>
              <w:pStyle w:val="Compact"/>
              <w:jc w:val="left"/>
            </w:pPr>
            <w:r>
              <w:t xml:space="preserve">Scope 2</w:t>
            </w:r>
          </w:p>
        </w:tc>
      </w:tr>
      <w:tr>
        <w:tc>
          <w:tcPr/>
          <w:p>
            <w:pPr>
              <w:pStyle w:val="Compact"/>
              <w:jc w:val="left"/>
            </w:pPr>
            <w:r>
              <w:t xml:space="preserve">C. Transport (Primary &amp; Last-Mile)</w:t>
            </w:r>
          </w:p>
        </w:tc>
        <w:tc>
          <w:tcPr/>
          <w:p>
            <w:pPr>
              <w:pStyle w:val="Compact"/>
              <w:jc w:val="left"/>
            </w:pPr>
            <w:r>
              <w:t xml:space="preserve">0.140</w:t>
            </w:r>
          </w:p>
        </w:tc>
        <w:tc>
          <w:tcPr/>
          <w:p>
            <w:pPr>
              <w:pStyle w:val="Compact"/>
              <w:jc w:val="left"/>
            </w:pPr>
            <w:r>
              <w:t xml:space="preserve">Scope 3 (Upstream)</w:t>
            </w:r>
          </w:p>
        </w:tc>
      </w:tr>
      <w:tr>
        <w:tc>
          <w:tcPr/>
          <w:p>
            <w:pPr>
              <w:pStyle w:val="Compact"/>
              <w:jc w:val="left"/>
            </w:pPr>
            <w:r>
              <w:t xml:space="preserve">D. Use Phase</w:t>
            </w:r>
          </w:p>
        </w:tc>
        <w:tc>
          <w:tcPr/>
          <w:p>
            <w:pPr>
              <w:pStyle w:val="Compact"/>
              <w:jc w:val="left"/>
            </w:pPr>
            <w:r>
              <w:t xml:space="preserve">10.000</w:t>
            </w:r>
          </w:p>
        </w:tc>
        <w:tc>
          <w:tcPr/>
          <w:p>
            <w:pPr>
              <w:pStyle w:val="Compact"/>
              <w:jc w:val="left"/>
            </w:pPr>
            <w:r>
              <w:t xml:space="preserve">Scope 3 (Downstream)</w:t>
            </w:r>
          </w:p>
        </w:tc>
      </w:tr>
      <w:tr>
        <w:tc>
          <w:tcPr/>
          <w:p>
            <w:pPr>
              <w:pStyle w:val="Compact"/>
              <w:jc w:val="left"/>
            </w:pPr>
            <w:r>
              <w:t xml:space="preserve">E. End-of-Life</w:t>
            </w:r>
          </w:p>
        </w:tc>
        <w:tc>
          <w:tcPr/>
          <w:p>
            <w:pPr>
              <w:pStyle w:val="Compact"/>
              <w:jc w:val="left"/>
            </w:pPr>
            <w:r>
              <w:t xml:space="preserve">-0.335</w:t>
            </w:r>
          </w:p>
        </w:tc>
        <w:tc>
          <w:tcPr/>
          <w:p>
            <w:pPr>
              <w:pStyle w:val="Compact"/>
              <w:jc w:val="left"/>
            </w:pPr>
            <w:r>
              <w:t xml:space="preserve">Scope 3 (Downstream)</w:t>
            </w:r>
          </w:p>
        </w:tc>
      </w:tr>
      <w:tr>
        <w:tc>
          <w:tcPr/>
          <w:p>
            <w:pPr>
              <w:pStyle w:val="Compact"/>
              <w:jc w:val="left"/>
            </w:pPr>
            <w:r>
              <w:rPr>
                <w:bCs/>
                <w:b/>
              </w:rPr>
              <w:t xml:space="preserve">TOTAL PCF per Functional Unit</w:t>
            </w:r>
          </w:p>
        </w:tc>
        <w:tc>
          <w:tcPr/>
          <w:p>
            <w:pPr>
              <w:pStyle w:val="Compact"/>
              <w:jc w:val="left"/>
            </w:pPr>
            <w:r>
              <w:rPr>
                <w:bCs/>
                <w:b/>
              </w:rPr>
              <w:t xml:space="preserve">22.675</w:t>
            </w:r>
          </w:p>
        </w:tc>
        <w:tc>
          <w:tcPr/>
          <w:p>
            <w:pPr>
              <w:pStyle w:val="Compact"/>
            </w:pPr>
          </w:p>
        </w:tc>
      </w:tr>
    </w:tbl>
    <w:bookmarkEnd w:id="41"/>
    <w:bookmarkStart w:id="42" w:name="Xdbea411ba479f4fc7882af9c5dd5d0262188425"/>
    <w:p>
      <w:pPr>
        <w:pStyle w:val="Heading3"/>
      </w:pPr>
      <w:r>
        <w:t xml:space="preserve">4.2. Emissions Breakdown by GHG Protocol Scope</w:t>
      </w:r>
    </w:p>
    <w:p>
      <w:pPr>
        <w:pStyle w:val="FirstParagraph"/>
      </w:pPr>
      <w:r>
        <w:t xml:space="preserve">Categorization of emissions as per GHG Protocol standards: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CO2e (kg)</w:t>
            </w:r>
          </w:p>
        </w:tc>
        <w:tc>
          <w:tcPr/>
          <w:p>
            <w:pPr>
              <w:pStyle w:val="Compact"/>
              <w:jc w:val="left"/>
            </w:pPr>
            <w:r>
              <w:t xml:space="preserve">Percentage (%)</w:t>
            </w:r>
          </w:p>
        </w:tc>
      </w:tr>
      <w:tr>
        <w:tc>
          <w:tcPr/>
          <w:p>
            <w:pPr>
              <w:pStyle w:val="Compact"/>
              <w:jc w:val="left"/>
            </w:pPr>
            <w:r>
              <w:t xml:space="preserve">Scope 1 (Direct Emissions)</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9.000</w:t>
            </w:r>
          </w:p>
        </w:tc>
        <w:tc>
          <w:tcPr/>
          <w:p>
            <w:pPr>
              <w:pStyle w:val="Compact"/>
              <w:jc w:val="left"/>
            </w:pPr>
            <w:r>
              <w:t xml:space="preserve">39.69%</w:t>
            </w:r>
          </w:p>
        </w:tc>
      </w:tr>
      <w:tr>
        <w:tc>
          <w:tcPr/>
          <w:p>
            <w:pPr>
              <w:pStyle w:val="Compact"/>
              <w:jc w:val="left"/>
            </w:pPr>
            <w:r>
              <w:t xml:space="preserve">Scope 3 (Value Chain Emissions)</w:t>
            </w:r>
          </w:p>
        </w:tc>
        <w:tc>
          <w:tcPr/>
          <w:p>
            <w:pPr>
              <w:pStyle w:val="Compact"/>
              <w:jc w:val="left"/>
            </w:pPr>
            <w:r>
              <w:t xml:space="preserve">13.675</w:t>
            </w:r>
          </w:p>
        </w:tc>
        <w:tc>
          <w:tcPr/>
          <w:p>
            <w:pPr>
              <w:pStyle w:val="Compact"/>
              <w:jc w:val="left"/>
            </w:pPr>
            <w:r>
              <w:t xml:space="preserve">60.31%</w:t>
            </w:r>
          </w:p>
        </w:tc>
      </w:tr>
      <w:tr>
        <w:tc>
          <w:tcPr/>
          <w:p>
            <w:pPr>
              <w:pStyle w:val="Compact"/>
              <w:jc w:val="left"/>
            </w:pPr>
            <w:r>
              <w:rPr>
                <w:bCs/>
                <w:b/>
              </w:rPr>
              <w:t xml:space="preserve">TOTAL</w:t>
            </w:r>
          </w:p>
        </w:tc>
        <w:tc>
          <w:tcPr/>
          <w:p>
            <w:pPr>
              <w:pStyle w:val="Compact"/>
              <w:jc w:val="left"/>
            </w:pPr>
            <w:r>
              <w:rPr>
                <w:bCs/>
                <w:b/>
              </w:rPr>
              <w:t xml:space="preserve">22.675</w:t>
            </w:r>
          </w:p>
        </w:tc>
        <w:tc>
          <w:tcPr/>
          <w:p>
            <w:pPr>
              <w:pStyle w:val="Compact"/>
              <w:jc w:val="left"/>
            </w:pPr>
            <w:r>
              <w:rPr>
                <w:bCs/>
                <w:b/>
              </w:rPr>
              <w:t xml:space="preserve">100.00%</w:t>
            </w:r>
          </w:p>
        </w:tc>
      </w:tr>
    </w:tbl>
    <w:p>
      <w:pPr>
        <w:pStyle w:val="BodyText"/>
      </w:pPr>
      <w:r>
        <w:rPr>
          <w:iCs/>
          <w:i/>
        </w:rPr>
        <w:t xml:space="preserve">Note: Scope 3 emissions include 3.87 kg (Materials) + 0.14 kg (Transport) + 10.0 kg (Use Phase) - 0.335 kg (EoL) = 13.675 kg CO2e. This demonstrates 100% coverage of Scope 3 within the defined system boundary and available data.</w:t>
      </w:r>
    </w:p>
    <w:bookmarkEnd w:id="42"/>
    <w:bookmarkStart w:id="43" w:name="hotspots-and-reliability"/>
    <w:p>
      <w:pPr>
        <w:pStyle w:val="Heading3"/>
      </w:pPr>
      <w:r>
        <w:t xml:space="preserve">4.3. Hotspots and Reliability</w:t>
      </w:r>
    </w:p>
    <w:p>
      <w:pPr>
        <w:pStyle w:val="FirstParagraph"/>
      </w:pPr>
      <w:r>
        <w:t xml:space="preserve">The primary hotspots for nigtfodjxq\'s carbon footprint are identified as:</w:t>
      </w:r>
    </w:p>
    <w:p>
      <w:pPr>
        <w:numPr>
          <w:ilvl w:val="0"/>
          <w:numId w:val="1009"/>
        </w:numPr>
        <w:pStyle w:val="Compact"/>
      </w:pPr>
      <w:r>
        <w:rPr>
          <w:bCs/>
          <w:b/>
        </w:rPr>
        <w:t xml:space="preserve">Use Phase (44.1%):</w:t>
      </w:r>
      <w:r>
        <w:t xml:space="preserve"> </w:t>
      </w:r>
      <w:r>
        <w:t xml:space="preserve">The energy consumption during the product\'s 5-year lifespan is the largest contributor, largely due to the assumed European grid mix.</w:t>
      </w:r>
    </w:p>
    <w:p>
      <w:pPr>
        <w:numPr>
          <w:ilvl w:val="0"/>
          <w:numId w:val="1009"/>
        </w:numPr>
        <w:pStyle w:val="Compact"/>
      </w:pPr>
      <w:r>
        <w:rPr>
          <w:bCs/>
          <w:b/>
        </w:rPr>
        <w:t xml:space="preserve">Production Phase (39.7%):</w:t>
      </w:r>
      <w:r>
        <w:t xml:space="preserve"> </w:t>
      </w:r>
      <w:r>
        <w:t xml:space="preserve">Purchased electricity for manufacturing in China, despite 40% renewable energy usage, remains a significant factor due to the higher carbon intensity of the Chinese grid.</w:t>
      </w:r>
    </w:p>
    <w:p>
      <w:pPr>
        <w:numPr>
          <w:ilvl w:val="0"/>
          <w:numId w:val="1009"/>
        </w:numPr>
        <w:pStyle w:val="Compact"/>
      </w:pPr>
      <w:r>
        <w:rPr>
          <w:bCs/>
          <w:b/>
        </w:rPr>
        <w:t xml:space="preserve">Material Acquisition (17.1%):</w:t>
      </w:r>
      <w:r>
        <w:t xml:space="preserve"> </w:t>
      </w:r>
      <w:r>
        <w:t xml:space="preserve">The aluminum casing, with its high emission factor for primary production, is a substantial material impact.</w:t>
      </w:r>
    </w:p>
    <w:p>
      <w:pPr>
        <w:pStyle w:val="FirstParagraph"/>
      </w:pPr>
      <w:r>
        <w:t xml:space="preserve">The reliability of this analysis is considered good, given the use of industry-standard emission factors and the application of primary data where provided. However, the illustrative nature of some placeholder data means that actual figures could vary. Future improvements would benefit from more granular, supplier-specific primary data for all lifecycle stages, especially for material extraction and processing, and actual energy mix data for manufacturing and use locations.</w:t>
      </w:r>
    </w:p>
    <w:p>
      <w:r>
        <w:pict>
          <v:rect style="width:0;height:1.5pt" o:hralign="center" o:hrstd="t" o:hr="t"/>
        </w:pict>
      </w:r>
    </w:p>
    <w:bookmarkEnd w:id="43"/>
    <w:bookmarkEnd w:id="44"/>
    <w:bookmarkStart w:id="47" w:name="recommendations-and-conclusion"/>
    <w:p>
      <w:pPr>
        <w:pStyle w:val="Heading2"/>
      </w:pPr>
      <w:r>
        <w:t xml:space="preserve">5. Recommendations and Conclusion</w:t>
      </w:r>
    </w:p>
    <w:p>
      <w:pPr>
        <w:pStyle w:val="FirstParagraph"/>
      </w:pPr>
      <w:r>
        <w:t xml:space="preserve">The PCF analysis provides critical insights for qzlhfydqzq to reduce the environmental impact of nigtfodjxq.</w:t>
      </w:r>
    </w:p>
    <w:bookmarkStart w:id="45" w:name="key-recommendations"/>
    <w:p>
      <w:pPr>
        <w:pStyle w:val="Heading3"/>
      </w:pPr>
      <w:r>
        <w:t xml:space="preserve">5.1. Key Recommendations</w:t>
      </w:r>
    </w:p>
    <w:p>
      <w:pPr>
        <w:numPr>
          <w:ilvl w:val="0"/>
          <w:numId w:val="1010"/>
        </w:numPr>
        <w:pStyle w:val="Compact"/>
      </w:pPr>
      <w:r>
        <w:rPr>
          <w:bCs/>
          <w:b/>
        </w:rPr>
        <w:t xml:space="preserve">Decarbonize the Use Phase:</w:t>
      </w:r>
      <w:r>
        <w:t xml:space="preserve"> </w:t>
      </w:r>
      <w:r>
        <w:t xml:space="preserve">Investigate opportunities for more energy-efficient product design or explore options for facilitating renewable energy access for end-users (e.g., green electricity tariffs).</w:t>
      </w:r>
    </w:p>
    <w:p>
      <w:pPr>
        <w:numPr>
          <w:ilvl w:val="0"/>
          <w:numId w:val="1010"/>
        </w:numPr>
        <w:pStyle w:val="Compact"/>
      </w:pPr>
      <w:r>
        <w:rPr>
          <w:bCs/>
          <w:b/>
        </w:rPr>
        <w:t xml:space="preserve">Enhance Production Phase Sustainability:</w:t>
      </w:r>
      <w:r>
        <w:t xml:space="preserve"> </w:t>
      </w:r>
      <w:r>
        <w:t xml:space="preserve">Increase the percentage of renewable energy used in the Chinese manufacturing facility beyond 40%. Explore options for procuring certified green electricity or investing in on-site renewable energy generation.</w:t>
      </w:r>
    </w:p>
    <w:p>
      <w:pPr>
        <w:numPr>
          <w:ilvl w:val="0"/>
          <w:numId w:val="1010"/>
        </w:numPr>
        <w:pStyle w:val="Compact"/>
      </w:pPr>
      <w:r>
        <w:rPr>
          <w:bCs/>
          <w:b/>
        </w:rPr>
        <w:t xml:space="preserve">Optimize Material Sourcing:</w:t>
      </w:r>
      <w:r>
        <w:t xml:space="preserve"> </w:t>
      </w:r>
      <w:r>
        <w:t xml:space="preserve">Focus on materials with lower embodied carbon, particularly for the aluminum casing. Prioritize suppliers using recycled content for aluminum or those with highly decarbonized production processes.</w:t>
      </w:r>
    </w:p>
    <w:p>
      <w:pPr>
        <w:numPr>
          <w:ilvl w:val="0"/>
          <w:numId w:val="1010"/>
        </w:numPr>
        <w:pStyle w:val="Compact"/>
      </w:pPr>
      <w:r>
        <w:rPr>
          <w:bCs/>
          <w:b/>
        </w:rPr>
        <w:t xml:space="preserve">Strengthen Circular Economy Initiatives:</w:t>
      </w:r>
      <w:r>
        <w:t xml:space="preserve"> </w:t>
      </w:r>
      <w:r>
        <w:t xml:space="preserve">Expand and promote the existing product take-back program to maximize recovery and recycling rates (currently 70%) and explore opportunities for component reuse or remanufacturing to further reduce EoL impacts.</w:t>
      </w:r>
    </w:p>
    <w:p>
      <w:pPr>
        <w:numPr>
          <w:ilvl w:val="0"/>
          <w:numId w:val="1010"/>
        </w:numPr>
        <w:pStyle w:val="Compact"/>
      </w:pPr>
      <w:r>
        <w:rPr>
          <w:bCs/>
          <w:b/>
        </w:rPr>
        <w:t xml:space="preserve">Supplier Engagement:</w:t>
      </w:r>
      <w:r>
        <w:t xml:space="preserve"> </w:t>
      </w:r>
      <w:r>
        <w:t xml:space="preserve">Work collaboratively with supply chain partners to obtain more specific, primary data for emission factors, particularly for material production and transportation, to improve the accuracy of future PCF assessments.</w:t>
      </w:r>
    </w:p>
    <w:bookmarkEnd w:id="45"/>
    <w:bookmarkStart w:id="46" w:name="conclusion"/>
    <w:p>
      <w:pPr>
        <w:pStyle w:val="Heading3"/>
      </w:pPr>
      <w:r>
        <w:t xml:space="preserve">5.2. Conclusion</w:t>
      </w:r>
    </w:p>
    <w:p>
      <w:pPr>
        <w:pStyle w:val="FirstParagraph"/>
      </w:pPr>
      <w:r>
        <w:t xml:space="preserve">The Product Carbon Footprint for nigtfodjxq is approximately 22.675 kg CO2e per functional unit. This detailed analysis, conducted by idpwqxgxpt for qzlhfydqzq under the GHG Protocol, highlights the significant environmental impact drivers across the product\'s lifecycle. By focusing on the identified hotspots—primarily the use and production phases, and key materials—qzlhfydqzq can develop targeted strategies to reduce its product\'s carbon footprint, contribute to global decarbonization efforts, and enhance its overall sustainability performance in line with the evolving 2026 GHG Protocol requirements.</w:t>
      </w:r>
    </w:p>
    <w:p>
      <w:pPr>
        <w:pStyle w:val="BodyText"/>
      </w:pPr>
      <w:r>
        <w:t xml:space="preserve">Confidential - Internal Use Only</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nigtfodjxq</dc:title>
  <dc:creator/>
  <dc:description>High-detail Product Carbon Footprint (PCF) analysis report for product nigtfodjxq, conducted by Senior Sustainability Consultant idpwqxgxpt for company qzlhfydqzq, adhering to GHG Protocol and 2026 LSR Update requirements.</dc:description>
  <dc:language>en</dc:language>
  <cp:keywords/>
  <dcterms:created xsi:type="dcterms:W3CDTF">2026-05-30T22:10:52Z</dcterms:created>
  <dcterms:modified xsi:type="dcterms:W3CDTF">2026-05-30T22:10:52Z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