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nifmxflijs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nifmxflijs</w:t>
      </w:r>
    </w:p>
    <w:p>
      <w:pPr>
        <w:pStyle w:val="BodyText"/>
      </w:pPr>
      <w:r>
        <w:t xml:space="preserve">For Company: xjfujhyfhv</w:t>
      </w:r>
    </w:p>
    <w:p>
      <w:pPr>
        <w:pStyle w:val="BodyText"/>
      </w:pPr>
      <w:r>
        <w:t xml:space="preserve">Prepared by:</w:t>
      </w:r>
    </w:p>
    <w:p>
      <w:pPr>
        <w:pStyle w:val="BodyText"/>
      </w:pPr>
      <w:r>
        <w:t xml:space="preserve">gwfifegfgg</w:t>
      </w:r>
    </w:p>
    <w:p>
      <w:pPr>
        <w:pStyle w:val="BodyText"/>
      </w:pPr>
      <w:r>
        <w:t xml:space="preserve">Senior Sustainability Consultant</w:t>
      </w:r>
    </w:p>
    <w:p>
      <w:pPr>
        <w:pStyle w:val="BodyText"/>
      </w:pPr>
      <w:r>
        <w:t xml:space="preserve">Protocol Data (Accounting Standard): GHG Protocol</w:t>
      </w:r>
    </w:p>
    <w:p>
      <w:pPr>
        <w:pStyle w:val="BodyText"/>
      </w:pPr>
      <w:r>
        <w:t xml:space="preserve">This report is generated based on available data and industry standards. All numerical values used in calculations are illustrative due to placeholder input data.</w:t>
      </w:r>
    </w:p>
    <w:p>
      <w:pPr>
        <w:pStyle w:val="BodyText"/>
      </w:pPr>
      <w:r>
        <w:t xml:space="preserve">Generated Date: June 01, 2026</w:t>
      </w:r>
    </w:p>
    <w:bookmarkEnd w:id="20"/>
    <w:bookmarkStart w:id="21" w:name="X0371fa0c81feb3beb6eff4c43d9a71e5962313d"/>
    <w:p>
      <w:pPr>
        <w:pStyle w:val="Heading1"/>
      </w:pPr>
      <w:r>
        <w:t xml:space="preserve">Product Carbon Footprint Analysis Report: nifmxflijs</w:t>
      </w:r>
    </w:p>
    <w:p>
      <w:pPr>
        <w:pStyle w:val="FirstParagraph"/>
      </w:pPr>
      <w:r>
        <w:rPr>
          <w:bCs/>
          <w:b/>
        </w:rPr>
        <w:t xml:space="preserve">Generated Date:</w:t>
      </w:r>
      <w:r>
        <w:t xml:space="preserve"> </w:t>
      </w:r>
      <w:r>
        <w:t xml:space="preserve">June 01, 2026</w:t>
      </w:r>
    </w:p>
    <w:p>
      <w:pPr>
        <w:pStyle w:val="BodyText"/>
      </w:pPr>
      <w:r>
        <w:rPr>
          <w:bCs/>
          <w:b/>
        </w:rPr>
        <w:t xml:space="preserve">Company Name:</w:t>
      </w:r>
      <w:r>
        <w:t xml:space="preserve"> </w:t>
      </w:r>
      <w:r>
        <w:t xml:space="preserve">xjfujhyfhv</w:t>
      </w:r>
    </w:p>
    <w:p>
      <w:pPr>
        <w:pStyle w:val="BodyText"/>
      </w:pPr>
      <w:r>
        <w:rPr>
          <w:bCs/>
          <w:b/>
        </w:rPr>
        <w:t xml:space="preserve">Senior Sustainability Consultant:</w:t>
      </w:r>
      <w:r>
        <w:t xml:space="preserve"> </w:t>
      </w:r>
      <w:r>
        <w:t xml:space="preserve">gwfifegfgg</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"nifmxflijs," manufactured by xjfujhyfhv. Conducted by gwfifegfgg, a Senior Sustainability Consultant specializing in the GHG Protocol, this analysis aims to quantify the total greenhouse gas (GHG) emissions associated with the product\'s lifecycle. The assessment strictly adheres to the GHG Protocol\'s methodologies, incorporating the latest 2026 Land Sector and Removals (LSR) Standard updates and striving for 95% Scope 3 coverage. The insights gained from this PCF analysis will identify significant emission hotspots and inform strategic decisions for emission reduction throughout the product\'s value chain.</w:t>
      </w:r>
    </w:p>
    <w:p>
      <w:r>
        <w:pict>
          <v:rect style="width:0;height:1.5pt" o:hralign="center" o:hrstd="t" o:hr="t"/>
        </w:pict>
      </w:r>
    </w:p>
    <w:bookmarkEnd w:id="22"/>
    <w:bookmarkStart w:id="24" w:name="methodology-followed"/>
    <w:p>
      <w:pPr>
        <w:pStyle w:val="Heading2"/>
      </w:pPr>
      <w:r>
        <w:t xml:space="preserve">1. Methodology Followed</w:t>
      </w:r>
    </w:p>
    <w:p>
      <w:pPr>
        <w:pStyle w:val="FirstParagraph"/>
      </w:pPr>
      <w:r>
        <w:t xml:space="preserve">The Product Carbon Footprint (PCF) analysis for nifmxflijs follows a five-step methodology as prescribed by the GHG Protocol:</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Identify all relevant processes and stages within the product\'s lifecycle.</w:t>
      </w:r>
    </w:p>
    <w:p>
      <w:pPr>
        <w:numPr>
          <w:ilvl w:val="0"/>
          <w:numId w:val="1001"/>
        </w:numPr>
        <w:pStyle w:val="Compact"/>
      </w:pPr>
      <w:r>
        <w:rPr>
          <w:bCs/>
          <w:b/>
        </w:rPr>
        <w:t xml:space="preserve">Collect Data:</w:t>
      </w:r>
      <w:r>
        <w:t xml:space="preserve"> </w:t>
      </w:r>
      <w:r>
        <w:t xml:space="preserve">Gather primary and secondary data points for each identified stage.</w:t>
      </w:r>
    </w:p>
    <w:p>
      <w:pPr>
        <w:numPr>
          <w:ilvl w:val="0"/>
          <w:numId w:val="1001"/>
        </w:numPr>
        <w:pStyle w:val="Compact"/>
      </w:pPr>
      <w:r>
        <w:rPr>
          <w:bCs/>
          <w:b/>
        </w:rPr>
        <w:t xml:space="preserve">Calculate Emissions:</w:t>
      </w:r>
      <w:r>
        <w:t xml:space="preserve"> </w:t>
      </w:r>
      <w:r>
        <w:t xml:space="preserve">Quantify GHG emissions using activity data and appropriate emission factors.</w:t>
      </w:r>
    </w:p>
    <w:p>
      <w:pPr>
        <w:numPr>
          <w:ilvl w:val="0"/>
          <w:numId w:val="1001"/>
        </w:numPr>
        <w:pStyle w:val="Compact"/>
      </w:pPr>
      <w:r>
        <w:rPr>
          <w:bCs/>
          <w:b/>
        </w:rPr>
        <w:t xml:space="preserve">Review &amp; Report:</w:t>
      </w:r>
      <w:r>
        <w:t xml:space="preserve"> </w:t>
      </w:r>
      <w:r>
        <w:t xml:space="preserve">Analyze results, identify hotspots, assess data reliability, and compile the final report.</w:t>
      </w:r>
    </w:p>
    <w:bookmarkStart w:id="23" w:name="ghg-protocol-adherence-and-2026-updates"/>
    <w:p>
      <w:pPr>
        <w:pStyle w:val="Heading3"/>
      </w:pPr>
      <w:r>
        <w:t xml:space="preserve">GHG Protocol Adherence and 2026 Updates:</w:t>
      </w:r>
    </w:p>
    <w:p>
      <w:pPr>
        <w:numPr>
          <w:ilvl w:val="0"/>
          <w:numId w:val="1002"/>
        </w:numPr>
        <w:pStyle w:val="Compact"/>
      </w:pPr>
      <w:r>
        <w:rPr>
          <w:bCs/>
          <w:b/>
        </w:rPr>
        <w:t xml:space="preserve">GHG Protocol Categorization:</w:t>
      </w:r>
      <w:r>
        <w:t xml:space="preserve"> </w:t>
      </w:r>
      <w:r>
        <w:t xml:space="preserve">Emissions are categorized into Scope 1 (direct emissions from sources owned or controlled by the company), Scope 2 (indirect emissions from purchased electricity, heat, or steam), and Scope 3 (all other indirect emissions across the value chain, both upstream and downstream).</w:t>
      </w:r>
    </w:p>
    <w:p>
      <w:pPr>
        <w:numPr>
          <w:ilvl w:val="0"/>
          <w:numId w:val="1002"/>
        </w:numPr>
        <w:pStyle w:val="Compact"/>
      </w:pPr>
      <w:r>
        <w:rPr>
          <w:bCs/>
          <w:b/>
        </w:rPr>
        <w:t xml:space="preserve">2026 LSR Update:</w:t>
      </w:r>
      <w:r>
        <w:t xml:space="preserve"> </w:t>
      </w:r>
      <w:r>
        <w:t xml:space="preserve">The analysis applies the Land Sector and Removals (LSR) Standard, released on January 30, 2026, which provides accounting requirements for land management, land use change, and carbon removals (both land-based and technological). This standard clarifies how these emissions and removals should be measured and reported. The accompanying Guidance document for the LSR Standard is expected in Q2 2026.</w:t>
      </w:r>
    </w:p>
    <w:p>
      <w:pPr>
        <w:numPr>
          <w:ilvl w:val="0"/>
          <w:numId w:val="1002"/>
        </w:numPr>
        <w:pStyle w:val="Compact"/>
      </w:pPr>
      <w:r>
        <w:rPr>
          <w:bCs/>
          <w:b/>
        </w:rPr>
        <w:t xml:space="preserve">Scope 3 Compliance (2026 Requirements):</w:t>
      </w:r>
      <w:r>
        <w:t xml:space="preserve"> </w:t>
      </w:r>
      <w:r>
        <w:t xml:space="preserve">As per the March 2026 progress update on the Scope 3 Standard, this report ensures at least 95% coverage for required Scope 3 emissions. Any exclusions, if necessary, would be quantified, disclosed, and justified. The report also considers the proposed mandatory disaggregation of Scope 3 emissions by data type to enhance transparency.</w:t>
      </w:r>
    </w:p>
    <w:p>
      <w:r>
        <w:pict>
          <v:rect style="width:0;height:1.5pt" o:hralign="center" o:hrstd="t" o:hr="t"/>
        </w:pict>
      </w:r>
    </w:p>
    <w:bookmarkEnd w:id="23"/>
    <w:bookmarkEnd w:id="24"/>
    <w:bookmarkStart w:id="25" w:name="define-scope"/>
    <w:p>
      <w:pPr>
        <w:pStyle w:val="Heading2"/>
      </w:pPr>
      <w:r>
        <w:t xml:space="preserve">2. Define Scope</w:t>
      </w:r>
    </w:p>
    <w:p>
      <w:pPr>
        <w:numPr>
          <w:ilvl w:val="0"/>
          <w:numId w:val="1003"/>
        </w:numPr>
        <w:pStyle w:val="Compact"/>
      </w:pPr>
      <w:r>
        <w:rPr>
          <w:bCs/>
          <w:b/>
        </w:rPr>
        <w:t xml:space="preserve">Functional Unit:</w:t>
      </w:r>
      <w:r>
        <w:t xml:space="preserve"> </w:t>
      </w:r>
      <w:r>
        <w:t xml:space="preserve">1.0 unit of nifmxflijs</w:t>
      </w:r>
    </w:p>
    <w:p>
      <w:pPr>
        <w:numPr>
          <w:ilvl w:val="0"/>
          <w:numId w:val="1003"/>
        </w:numPr>
        <w:pStyle w:val="Compact"/>
      </w:pPr>
      <w:r>
        <w:rPr>
          <w:bCs/>
          <w:b/>
        </w:rPr>
        <w:t xml:space="preserve">System Boundary:</w:t>
      </w:r>
      <w:r>
        <w:t xml:space="preserve"> </w:t>
      </w:r>
      <w:r>
        <w:t xml:space="preserve">factory_gate (Cradle-to-gate, encompassing raw material extraction, manufacturing, and transport to the factory gate)</w:t>
      </w:r>
    </w:p>
    <w:p>
      <w:pPr>
        <w:numPr>
          <w:ilvl w:val="0"/>
          <w:numId w:val="1003"/>
        </w:numPr>
        <w:pStyle w:val="Compact"/>
      </w:pPr>
      <w:r>
        <w:rPr>
          <w:bCs/>
          <w:b/>
        </w:rPr>
        <w:t xml:space="preserve">Geographic Scope:</w:t>
      </w:r>
      <w:r>
        <w:t xml:space="preserve"> </w:t>
      </w:r>
      <w:r>
        <w:t xml:space="preserve">Final Production Country: China, Supply Chain Focus: Europe Focused</w:t>
      </w:r>
    </w:p>
    <w:p>
      <w:pPr>
        <w:numPr>
          <w:ilvl w:val="0"/>
          <w:numId w:val="1003"/>
        </w:numPr>
        <w:pStyle w:val="Compact"/>
      </w:pPr>
      <w:r>
        <w:rPr>
          <w:bCs/>
          <w:b/>
        </w:rPr>
        <w:t xml:space="preserve">Accounting Standard:</w:t>
      </w:r>
      <w:r>
        <w:t xml:space="preserve"> </w:t>
      </w:r>
      <w:r>
        <w:t xml:space="preserve">GHG Protocol</w:t>
      </w:r>
    </w:p>
    <w:p>
      <w:r>
        <w:pict>
          <v:rect style="width:0;height:1.5pt" o:hralign="center" o:hrstd="t" o:hr="t"/>
        </w:pict>
      </w:r>
    </w:p>
    <w:bookmarkEnd w:id="25"/>
    <w:bookmarkStart w:id="31" w:name="X3e46329a61170a5902be59bf4e1a8cabf6c7cb6"/>
    <w:p>
      <w:pPr>
        <w:pStyle w:val="Heading2"/>
      </w:pPr>
      <w:r>
        <w:t xml:space="preserve">3. Map Lifecycle (LCI Inventory Stages) &amp; Collect Data</w:t>
      </w:r>
    </w:p>
    <w:p>
      <w:pPr>
        <w:pStyle w:val="FirstParagraph"/>
      </w:pPr>
      <w:r>
        <w:t xml:space="preserve">This section details the primary and secondary data collected, organized by lifecycle stage. Please note that numerical values for parameters like Bill of Materials (BOM), transport distance, energy usage, product lifespan, energy consumption in use, recyclability percentage, and circular programs were provided as arbitrary strings. For the purpose of demonstrating the methodology and calculation framework, illustrative example values and representative emission factors from industry-standard databases (such as Ecoinvent and DEFRA) are used where specific quantitative inputs were not available.</w:t>
      </w:r>
    </w:p>
    <w:bookmarkStart w:id="26" w:name="X27a25553588624fb7137dac639b913f4bd3af60"/>
    <w:p>
      <w:pPr>
        <w:pStyle w:val="Heading3"/>
      </w:pPr>
      <w:r>
        <w:t xml:space="preserve">3.1. Material Acquisition &amp; Pre-processing (Upstream - Scope 3)</w:t>
      </w:r>
    </w:p>
    <w:p>
      <w:pPr>
        <w:pStyle w:val="FirstParagraph"/>
      </w:pPr>
      <w:r>
        <w:t xml:space="preserve">The Detailed Bill of Materials (BOM) for nifmxflijs is critical for calculating the material-related emissions. The provided BOM string "llersqmi" is treated as a placeholder, and the following illustrative BOM data, conforming to the specified format, is used for analysis: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Illustrative Emission Factor (kg CO2e/unit)</w:t>
            </w:r>
          </w:p>
        </w:tc>
        <w:tc>
          <w:tcPr/>
          <w:p>
            <w:pPr>
              <w:pStyle w:val="Compact"/>
              <w:jc w:val="left"/>
            </w:pPr>
            <w:r>
              <w:t xml:space="preserve">Total Carbon (kg CO2e)</w:t>
            </w:r>
          </w:p>
        </w:tc>
      </w:tr>
      <w:tr>
        <w:tc>
          <w:tcPr/>
          <w:p>
            <w:pPr>
              <w:pStyle w:val="Compact"/>
              <w:jc w:val="left"/>
            </w:pPr>
            <w:r>
              <w:t xml:space="preserve">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 (e.g., Ecoinvent for Aluminum primary production)</w:t>
            </w:r>
          </w:p>
        </w:tc>
        <w:tc>
          <w:tcPr/>
          <w:p>
            <w:pPr>
              <w:pStyle w:val="Compact"/>
              <w:jc w:val="left"/>
            </w:pPr>
            <w:r>
              <w:t xml:space="preserve">2.00</w:t>
            </w:r>
          </w:p>
        </w:tc>
      </w:tr>
      <w:tr>
        <w:tc>
          <w:tcPr/>
          <w:p>
            <w:pPr>
              <w:pStyle w:val="Compact"/>
              <w:jc w:val="left"/>
            </w:pPr>
            <w:r>
              <w:t xml:space="preserve">002</w:t>
            </w:r>
          </w:p>
        </w:tc>
        <w:tc>
          <w:tcPr/>
          <w:p>
            <w:pPr>
              <w:pStyle w:val="Compact"/>
              <w:jc w:val="left"/>
            </w:pPr>
            <w:r>
              <w:t xml:space="preserve">ABS 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3.5 (e.g., Ecoinvent for ABS production)</w:t>
            </w:r>
          </w:p>
        </w:tc>
        <w:tc>
          <w:tcPr/>
          <w:p>
            <w:pPr>
              <w:pStyle w:val="Compact"/>
              <w:jc w:val="left"/>
            </w:pPr>
            <w:r>
              <w:t xml:space="preserve">0.35</w:t>
            </w:r>
          </w:p>
        </w:tc>
      </w:tr>
      <w:tr>
        <w:tc>
          <w:tcPr/>
          <w:p>
            <w:pPr>
              <w:pStyle w:val="Compact"/>
              <w:jc w:val="left"/>
            </w:pPr>
            <w:r>
              <w:t xml:space="preserve">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piece</w:t>
            </w:r>
          </w:p>
        </w:tc>
        <w:tc>
          <w:tcPr/>
          <w:p>
            <w:pPr>
              <w:pStyle w:val="Compact"/>
              <w:jc w:val="left"/>
            </w:pPr>
            <w:r>
              <w:t xml:space="preserve">0.8 (e.g., generic factor for electronic components)</w:t>
            </w:r>
          </w:p>
        </w:tc>
        <w:tc>
          <w:tcPr/>
          <w:p>
            <w:pPr>
              <w:pStyle w:val="Compact"/>
              <w:jc w:val="left"/>
            </w:pPr>
            <w:r>
              <w:t xml:space="preserve">0.80</w:t>
            </w:r>
          </w:p>
        </w:tc>
      </w:tr>
      <w:tr>
        <w:tc>
          <w:tcPr/>
          <w:p>
            <w:pPr>
              <w:pStyle w:val="Compact"/>
              <w:jc w:val="left"/>
            </w:pPr>
            <w:r>
              <w:t xml:space="preserve">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4.0 (e.g., Ecoinvent for Copper primary production)</w:t>
            </w:r>
          </w:p>
        </w:tc>
        <w:tc>
          <w:tcPr/>
          <w:p>
            <w:pPr>
              <w:pStyle w:val="Compact"/>
              <w:jc w:val="left"/>
            </w:pPr>
            <w:r>
              <w:t xml:space="preserve">0.04</w:t>
            </w:r>
          </w:p>
        </w:tc>
      </w:tr>
      <w:tr>
        <w:tc>
          <w:tcPr/>
          <w:p>
            <w:pPr>
              <w:pStyle w:val="Compact"/>
              <w:jc w:val="left"/>
            </w:pPr>
            <w:r>
              <w:t xml:space="preserve">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Forming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0.5 (e.g., DEFRA for recycled cardboard production)</w:t>
            </w:r>
          </w:p>
        </w:tc>
        <w:tc>
          <w:tcPr/>
          <w:p>
            <w:pPr>
              <w:pStyle w:val="Compact"/>
              <w:jc w:val="left"/>
            </w:pPr>
            <w:r>
              <w:t xml:space="preserve">0.03</w:t>
            </w:r>
          </w:p>
        </w:tc>
      </w:tr>
    </w:tbl>
    <w:bookmarkEnd w:id="26"/>
    <w:bookmarkStart w:id="27" w:name="Xf69ac4bda474af6997d7dbed9b8c0179eead323"/>
    <w:p>
      <w:pPr>
        <w:pStyle w:val="Heading3"/>
      </w:pPr>
      <w:r>
        <w:t xml:space="preserve">3.2. Manufacturing (Core Operations - Scope 1 &amp; 2)</w:t>
      </w:r>
    </w:p>
    <w:p>
      <w:pPr>
        <w:pStyle w:val="FirstParagraph"/>
      </w:pPr>
      <w:r>
        <w:t xml:space="preserve">Production data focuses on direct emissions from facilities (Scope 1) and purchased energy (Scope 2).</w:t>
      </w:r>
    </w:p>
    <w:p>
      <w:pPr>
        <w:numPr>
          <w:ilvl w:val="0"/>
          <w:numId w:val="1004"/>
        </w:numPr>
        <w:pStyle w:val="Compact"/>
      </w:pPr>
      <w:r>
        <w:rPr>
          <w:bCs/>
          <w:b/>
        </w:rPr>
        <w:t xml:space="preserve">Renewable Energy Usage:</w:t>
      </w:r>
      <w:r>
        <w:t xml:space="preserve"> </w:t>
      </w:r>
      <w:r>
        <w:t xml:space="preserve">kmjmgzxfkl (Illustrative: 60%)</w:t>
      </w:r>
    </w:p>
    <w:p>
      <w:pPr>
        <w:numPr>
          <w:ilvl w:val="0"/>
          <w:numId w:val="1004"/>
        </w:numPr>
        <w:pStyle w:val="Compact"/>
      </w:pPr>
      <w:r>
        <w:rPr>
          <w:bCs/>
          <w:b/>
        </w:rPr>
        <w:t xml:space="preserve">Energy Intensity (kWh/unit):</w:t>
      </w:r>
      <w:r>
        <w:t xml:space="preserve"> </w:t>
      </w:r>
      <w:r>
        <w:t xml:space="preserve">wfwvzllgug (Illustrative: 0.8 kWh/unit)</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Illustrative Grid Emission Factor (China):</w:t>
      </w:r>
      <w:r>
        <w:t xml:space="preserve"> </w:t>
      </w:r>
      <w:r>
        <w:t xml:space="preserve">0.6 kg CO2e/kWh (representing the grid average, considering a mix of energy sources for China).</w:t>
      </w:r>
    </w:p>
    <w:p>
      <w:pPr>
        <w:numPr>
          <w:ilvl w:val="0"/>
          <w:numId w:val="1004"/>
        </w:numPr>
        <w:pStyle w:val="Compact"/>
      </w:pPr>
      <w:r>
        <w:rPr>
          <w:bCs/>
          <w:b/>
        </w:rPr>
        <w:t xml:space="preserve">Illustrative Renewable Energy Emission Factor:</w:t>
      </w:r>
      <w:r>
        <w:t xml:space="preserve"> </w:t>
      </w:r>
      <w:r>
        <w:t xml:space="preserve">0 kg CO2e/kWh (assuming certified renewable energy with zero emissions).</w:t>
      </w:r>
    </w:p>
    <w:bookmarkEnd w:id="27"/>
    <w:bookmarkStart w:id="28" w:name="X11f5d096783fb9d2822b064c95541c3fbb06886"/>
    <w:p>
      <w:pPr>
        <w:pStyle w:val="Heading3"/>
      </w:pPr>
      <w:r>
        <w:t xml:space="preserve">3.3. Transportation (Upstream &amp; Downstream - Scope 3)</w:t>
      </w:r>
    </w:p>
    <w:p>
      <w:pPr>
        <w:pStyle w:val="FirstParagraph"/>
      </w:pPr>
      <w:r>
        <w:t xml:space="preserve">Logistics data for both inbound materials (upstream) and outbound products (downstream) are crucial for supply chain analysis.</w:t>
      </w:r>
    </w:p>
    <w:p>
      <w:pPr>
        <w:numPr>
          <w:ilvl w:val="0"/>
          <w:numId w:val="1005"/>
        </w:numPr>
        <w:pStyle w:val="Compact"/>
      </w:pPr>
      <w:r>
        <w:rPr>
          <w:bCs/>
          <w:b/>
        </w:rPr>
        <w:t xml:space="preserve">Primary Transport Mode (Supply Chain Focus: Europe Focused):</w:t>
      </w:r>
      <w:r>
        <w:t xml:space="preserve"> </w:t>
      </w:r>
      <w:r>
        <w:t xml:space="preserve">Select Mode (Illustrative: Ocean Freight for long-haul)</w:t>
      </w:r>
    </w:p>
    <w:p>
      <w:pPr>
        <w:numPr>
          <w:ilvl w:val="0"/>
          <w:numId w:val="1005"/>
        </w:numPr>
        <w:pStyle w:val="Compact"/>
      </w:pPr>
      <w:r>
        <w:rPr>
          <w:bCs/>
          <w:b/>
        </w:rPr>
        <w:t xml:space="preserve">Illustrative Transport Distance (Ocean Freight):</w:t>
      </w:r>
      <w:r>
        <w:t xml:space="preserve"> </w:t>
      </w:r>
      <w:r>
        <w:t xml:space="preserve">ixwxwdtjie (Illustrative: 8,000 km for transport from Europe to China)</w:t>
      </w:r>
    </w:p>
    <w:p>
      <w:pPr>
        <w:numPr>
          <w:ilvl w:val="0"/>
          <w:numId w:val="1005"/>
        </w:numPr>
        <w:pStyle w:val="Compact"/>
      </w:pPr>
      <w:r>
        <w:rPr>
          <w:bCs/>
          <w:b/>
        </w:rPr>
        <w:t xml:space="preserve">Illustrative Ocean Freight Emission Factor:</w:t>
      </w:r>
      <w:r>
        <w:t xml:space="preserve"> </w:t>
      </w:r>
      <w:r>
        <w:t xml:space="preserve">0.016 kg CO2e/tonne-km (DEFRA 2025 average for container ships).</w:t>
      </w:r>
    </w:p>
    <w:p>
      <w:pPr>
        <w:numPr>
          <w:ilvl w:val="0"/>
          <w:numId w:val="1005"/>
        </w:numPr>
        <w:pStyle w:val="Compact"/>
      </w:pPr>
      <w:r>
        <w:rPr>
          <w:bCs/>
          <w:b/>
        </w:rPr>
        <w:t xml:space="preserve">Last-Mile Delivery Channel:</w:t>
      </w:r>
      <w:r>
        <w:t xml:space="preserve"> </w:t>
      </w:r>
      <w:r>
        <w:t xml:space="preserve">Delivery Type (Illustrative: Road Freight)</w:t>
      </w:r>
    </w:p>
    <w:p>
      <w:pPr>
        <w:numPr>
          <w:ilvl w:val="0"/>
          <w:numId w:val="1005"/>
        </w:numPr>
        <w:pStyle w:val="Compact"/>
      </w:pPr>
      <w:r>
        <w:rPr>
          <w:bCs/>
          <w:b/>
        </w:rPr>
        <w:t xml:space="preserve">Illustrative Last-Mile Delivery Distance:</w:t>
      </w:r>
      <w:r>
        <w:t xml:space="preserve"> </w:t>
      </w:r>
      <w:r>
        <w:t xml:space="preserve">50 km</w:t>
      </w:r>
    </w:p>
    <w:p>
      <w:pPr>
        <w:numPr>
          <w:ilvl w:val="0"/>
          <w:numId w:val="1005"/>
        </w:numPr>
        <w:pStyle w:val="Compact"/>
      </w:pPr>
      <w:r>
        <w:rPr>
          <w:bCs/>
          <w:b/>
        </w:rPr>
        <w:t xml:space="preserve">Illustrative Road Freight Emission Factor:</w:t>
      </w:r>
      <w:r>
        <w:t xml:space="preserve"> </w:t>
      </w:r>
      <w:r>
        <w:t xml:space="preserve">0.069 kg CO2e/tonne-km (GLEC framework for road freight).</w:t>
      </w:r>
    </w:p>
    <w:bookmarkEnd w:id="28"/>
    <w:bookmarkStart w:id="29" w:name="use-phase-downstream---scope-3"/>
    <w:p>
      <w:pPr>
        <w:pStyle w:val="Heading3"/>
      </w:pPr>
      <w:r>
        <w:t xml:space="preserve">3.4. Use Phase (Downstream - Scope 3)</w:t>
      </w:r>
    </w:p>
    <w:p>
      <w:pPr>
        <w:pStyle w:val="FirstParagraph"/>
      </w:pPr>
      <w:r>
        <w:t xml:space="preserve">Data related to the product\'s use by the consumer.</w:t>
      </w:r>
    </w:p>
    <w:p>
      <w:pPr>
        <w:numPr>
          <w:ilvl w:val="0"/>
          <w:numId w:val="1006"/>
        </w:numPr>
        <w:pStyle w:val="Compact"/>
      </w:pPr>
      <w:r>
        <w:rPr>
          <w:bCs/>
          <w:b/>
        </w:rPr>
        <w:t xml:space="preserve">Product Lifespan:</w:t>
      </w:r>
      <w:r>
        <w:t xml:space="preserve"> </w:t>
      </w:r>
      <w:r>
        <w:t xml:space="preserve">mtyztszfwi (Illustrative: 5 years)</w:t>
      </w:r>
    </w:p>
    <w:p>
      <w:pPr>
        <w:numPr>
          <w:ilvl w:val="0"/>
          <w:numId w:val="1006"/>
        </w:numPr>
        <w:pStyle w:val="Compact"/>
      </w:pPr>
      <w:r>
        <w:rPr>
          <w:bCs/>
          <w:b/>
        </w:rPr>
        <w:t xml:space="preserve">Energy Consumption in Use:</w:t>
      </w:r>
      <w:r>
        <w:t xml:space="preserve"> </w:t>
      </w:r>
      <w:r>
        <w:t xml:space="preserve">xtltxvwsum (Illustrative: 5 kWh/year)</w:t>
      </w:r>
    </w:p>
    <w:p>
      <w:pPr>
        <w:numPr>
          <w:ilvl w:val="0"/>
          <w:numId w:val="1006"/>
        </w:numPr>
        <w:pStyle w:val="Compact"/>
      </w:pPr>
      <w:r>
        <w:rPr>
          <w:bCs/>
          <w:b/>
        </w:rPr>
        <w:t xml:space="preserve">Illustrative Grid Emission Factor (User location assumed to be average European mix for calculation, if not specified):</w:t>
      </w:r>
      <w:r>
        <w:t xml:space="preserve"> </w:t>
      </w:r>
      <w:r>
        <w:t xml:space="preserve">0.25 kg CO2e/kWh (Illustrative average for European electricity mix for demonstration purposes).</w:t>
      </w:r>
    </w:p>
    <w:bookmarkEnd w:id="29"/>
    <w:bookmarkStart w:id="30" w:name="end-of-life-eol-downstream---scope-3"/>
    <w:p>
      <w:pPr>
        <w:pStyle w:val="Heading3"/>
      </w:pPr>
      <w:r>
        <w:t xml:space="preserve">3.5. End-of-Life (EoL) (Downstream - Scope 3)</w:t>
      </w:r>
    </w:p>
    <w:p>
      <w:pPr>
        <w:pStyle w:val="FirstParagraph"/>
      </w:pPr>
      <w:r>
        <w:t xml:space="preserve">Information regarding the product\'s disposal and potential recovery.</w:t>
      </w:r>
    </w:p>
    <w:p>
      <w:pPr>
        <w:numPr>
          <w:ilvl w:val="0"/>
          <w:numId w:val="1007"/>
        </w:numPr>
        <w:pStyle w:val="Compact"/>
      </w:pPr>
      <w:r>
        <w:rPr>
          <w:bCs/>
          <w:b/>
        </w:rPr>
        <w:t xml:space="preserve">Recyclability Percentage:</w:t>
      </w:r>
      <w:r>
        <w:t xml:space="preserve"> </w:t>
      </w:r>
      <w:r>
        <w:t xml:space="preserve">jxgmlqiwge (Illustrative: 70%)</w:t>
      </w:r>
    </w:p>
    <w:p>
      <w:pPr>
        <w:numPr>
          <w:ilvl w:val="0"/>
          <w:numId w:val="1007"/>
        </w:numPr>
        <w:pStyle w:val="Compact"/>
      </w:pPr>
      <w:r>
        <w:rPr>
          <w:bCs/>
          <w:b/>
        </w:rPr>
        <w:t xml:space="preserve">Circular/Take-back Programs:</w:t>
      </w:r>
      <w:r>
        <w:t xml:space="preserve"> </w:t>
      </w:r>
      <w:r>
        <w:t xml:space="preserve">lkjqzhqqpx (Illustrative: Yes, active program in place)</w:t>
      </w:r>
    </w:p>
    <w:p>
      <w:pPr>
        <w:numPr>
          <w:ilvl w:val="0"/>
          <w:numId w:val="1007"/>
        </w:numPr>
        <w:pStyle w:val="Compact"/>
      </w:pPr>
      <w:r>
        <w:rPr>
          <w:bCs/>
          <w:b/>
        </w:rPr>
        <w:t xml:space="preserve">Illustrative Waste to Landfill Emission Factor:</w:t>
      </w:r>
      <w:r>
        <w:t xml:space="preserve"> </w:t>
      </w:r>
      <w:r>
        <w:t xml:space="preserve">0.2 kg CO2e/kg (generic for mixed waste)</w:t>
      </w:r>
    </w:p>
    <w:p>
      <w:pPr>
        <w:numPr>
          <w:ilvl w:val="0"/>
          <w:numId w:val="1007"/>
        </w:numPr>
        <w:pStyle w:val="Compact"/>
      </w:pPr>
      <w:r>
        <w:rPr>
          <w:bCs/>
          <w:b/>
        </w:rPr>
        <w:t xml:space="preserve">Illustrative Recycling Credit:</w:t>
      </w:r>
      <w:r>
        <w:t xml:space="preserve"> </w:t>
      </w:r>
      <w:r>
        <w:t xml:space="preserve">-1.0 kg CO2e/kg (credits for recycled materials displacing virgin production)</w:t>
      </w:r>
    </w:p>
    <w:p>
      <w:r>
        <w:pict>
          <v:rect style="width:0;height:1.5pt" o:hralign="center" o:hrstd="t" o:hr="t"/>
        </w:pict>
      </w:r>
    </w:p>
    <w:bookmarkEnd w:id="30"/>
    <w:bookmarkEnd w:id="31"/>
    <w:bookmarkStart w:id="45" w:name="calculate-emissions"/>
    <w:p>
      <w:pPr>
        <w:pStyle w:val="Heading2"/>
      </w:pPr>
      <w:r>
        <w:t xml:space="preserve">4. Calculate Emissions</w:t>
      </w:r>
    </w:p>
    <w:p>
      <w:pPr>
        <w:pStyle w:val="FirstParagraph"/>
      </w:pPr>
      <w:r>
        <w:t xml:space="preserve">This section provides a demonstration of emission calculations based on the illustrative data and emission factors. All calculations use the GHG Protocol\'s principle: Activity Data × Emission Factor = CO2e. Emission factors are derived from industry-standard databases like Ecoinvent and DEFRA, or representative averages for demonstration.</w:t>
      </w:r>
    </w:p>
    <w:bookmarkStart w:id="34" w:name="X5724c3d864b20572ce25b9687065276983e7446"/>
    <w:p>
      <w:pPr>
        <w:pStyle w:val="Heading3"/>
      </w:pPr>
      <w:r>
        <w:t xml:space="preserve">4.1. Scope 3: Upstream Emissions (Cradle-to-Gate excluding manufacturing energy)</w:t>
      </w:r>
    </w:p>
    <w:bookmarkStart w:id="32" w:name="X5e81f4f46cec9ae6232263a7129735f52a2bb7c"/>
    <w:p>
      <w:pPr>
        <w:pStyle w:val="Heading4"/>
      </w:pPr>
      <w:r>
        <w:t xml:space="preserve">4.1.1. Material Production (Purchased Goods and Services)</w:t>
      </w:r>
    </w:p>
    <w:p>
      <w:pPr>
        <w:pStyle w:val="FirstParagraph"/>
      </w:pPr>
      <w:r>
        <w:t xml:space="preserve">Based on the illustrative Bill of Materials (BOM):</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Quantity (kg/piece)</w:t>
            </w:r>
          </w:p>
        </w:tc>
        <w:tc>
          <w:tcPr/>
          <w:p>
            <w:pPr>
              <w:pStyle w:val="Compact"/>
              <w:jc w:val="left"/>
            </w:pPr>
            <w:r>
              <w:t xml:space="preserve">Illustrative Emission Factor (kg CO2e/kg or piece)</w:t>
            </w:r>
          </w:p>
        </w:tc>
        <w:tc>
          <w:tcPr/>
          <w:p>
            <w:pPr>
              <w:pStyle w:val="Compact"/>
              <w:jc w:val="left"/>
            </w:pPr>
            <w:r>
              <w:t xml:space="preserve">Total Carbon (kg CO2e)</w:t>
            </w:r>
          </w:p>
        </w:tc>
      </w:tr>
      <w:tr>
        <w:tc>
          <w:tcPr/>
          <w:p>
            <w:pPr>
              <w:pStyle w:val="Compact"/>
              <w:jc w:val="left"/>
            </w:pPr>
            <w:r>
              <w:t xml:space="preserve">Aluminum Casing</w:t>
            </w:r>
          </w:p>
        </w:tc>
        <w:tc>
          <w:tcPr/>
          <w:p>
            <w:pPr>
              <w:pStyle w:val="Compact"/>
              <w:jc w:val="left"/>
            </w:pPr>
            <w:r>
              <w:t xml:space="preserve">0.2 kg</w:t>
            </w:r>
          </w:p>
        </w:tc>
        <w:tc>
          <w:tcPr/>
          <w:p>
            <w:pPr>
              <w:pStyle w:val="Compact"/>
              <w:jc w:val="left"/>
            </w:pPr>
            <w:r>
              <w:t xml:space="preserve">10.0 kg CO2e/kg</w:t>
            </w:r>
          </w:p>
        </w:tc>
        <w:tc>
          <w:tcPr/>
          <w:p>
            <w:pPr>
              <w:pStyle w:val="Compact"/>
              <w:jc w:val="left"/>
            </w:pPr>
            <w:r>
              <w:t xml:space="preserve">2.00</w:t>
            </w:r>
          </w:p>
        </w:tc>
      </w:tr>
      <w:tr>
        <w:tc>
          <w:tcPr/>
          <w:p>
            <w:pPr>
              <w:pStyle w:val="Compact"/>
              <w:jc w:val="left"/>
            </w:pPr>
            <w:r>
              <w:t xml:space="preserve">ABS Plastic Enclosure</w:t>
            </w:r>
          </w:p>
        </w:tc>
        <w:tc>
          <w:tcPr/>
          <w:p>
            <w:pPr>
              <w:pStyle w:val="Compact"/>
              <w:jc w:val="left"/>
            </w:pPr>
            <w:r>
              <w:t xml:space="preserve">0.1 kg</w:t>
            </w:r>
          </w:p>
        </w:tc>
        <w:tc>
          <w:tcPr/>
          <w:p>
            <w:pPr>
              <w:pStyle w:val="Compact"/>
              <w:jc w:val="left"/>
            </w:pPr>
            <w:r>
              <w:t xml:space="preserve">3.5 kg CO2e/kg</w:t>
            </w:r>
          </w:p>
        </w:tc>
        <w:tc>
          <w:tcPr/>
          <w:p>
            <w:pPr>
              <w:pStyle w:val="Compact"/>
              <w:jc w:val="left"/>
            </w:pPr>
            <w:r>
              <w:t xml:space="preserve">0.35</w:t>
            </w:r>
          </w:p>
        </w:tc>
      </w:tr>
      <w:tr>
        <w:tc>
          <w:tcPr/>
          <w:p>
            <w:pPr>
              <w:pStyle w:val="Compact"/>
              <w:jc w:val="left"/>
            </w:pPr>
            <w:r>
              <w:t xml:space="preserve">Circuit Board (PCB)</w:t>
            </w:r>
          </w:p>
        </w:tc>
        <w:tc>
          <w:tcPr/>
          <w:p>
            <w:pPr>
              <w:pStyle w:val="Compact"/>
              <w:jc w:val="left"/>
            </w:pPr>
            <w:r>
              <w:t xml:space="preserve">1 piece</w:t>
            </w:r>
          </w:p>
        </w:tc>
        <w:tc>
          <w:tcPr/>
          <w:p>
            <w:pPr>
              <w:pStyle w:val="Compact"/>
              <w:jc w:val="left"/>
            </w:pPr>
            <w:r>
              <w:t xml:space="preserve">0.8 kg CO2e/piece</w:t>
            </w:r>
          </w:p>
        </w:tc>
        <w:tc>
          <w:tcPr/>
          <w:p>
            <w:pPr>
              <w:pStyle w:val="Compact"/>
              <w:jc w:val="left"/>
            </w:pPr>
            <w:r>
              <w:t xml:space="preserve">0.80</w:t>
            </w:r>
          </w:p>
        </w:tc>
      </w:tr>
      <w:tr>
        <w:tc>
          <w:tcPr/>
          <w:p>
            <w:pPr>
              <w:pStyle w:val="Compact"/>
              <w:jc w:val="left"/>
            </w:pPr>
            <w:r>
              <w:t xml:space="preserve">Copper Wiring</w:t>
            </w:r>
          </w:p>
        </w:tc>
        <w:tc>
          <w:tcPr/>
          <w:p>
            <w:pPr>
              <w:pStyle w:val="Compact"/>
              <w:jc w:val="left"/>
            </w:pPr>
            <w:r>
              <w:t xml:space="preserve">0.01 kg</w:t>
            </w:r>
          </w:p>
        </w:tc>
        <w:tc>
          <w:tcPr/>
          <w:p>
            <w:pPr>
              <w:pStyle w:val="Compact"/>
              <w:jc w:val="left"/>
            </w:pPr>
            <w:r>
              <w:t xml:space="preserve">4.0 kg CO2e/kg</w:t>
            </w:r>
          </w:p>
        </w:tc>
        <w:tc>
          <w:tcPr/>
          <w:p>
            <w:pPr>
              <w:pStyle w:val="Compact"/>
              <w:jc w:val="left"/>
            </w:pPr>
            <w:r>
              <w:t xml:space="preserve">0.04</w:t>
            </w:r>
          </w:p>
        </w:tc>
      </w:tr>
      <w:tr>
        <w:tc>
          <w:tcPr/>
          <w:p>
            <w:pPr>
              <w:pStyle w:val="Compact"/>
              <w:jc w:val="left"/>
            </w:pPr>
            <w:r>
              <w:t xml:space="preserve">Packaging Cardboard</w:t>
            </w:r>
          </w:p>
        </w:tc>
        <w:tc>
          <w:tcPr/>
          <w:p>
            <w:pPr>
              <w:pStyle w:val="Compact"/>
              <w:jc w:val="left"/>
            </w:pPr>
            <w:r>
              <w:t xml:space="preserve">0.05 kg</w:t>
            </w:r>
          </w:p>
        </w:tc>
        <w:tc>
          <w:tcPr/>
          <w:p>
            <w:pPr>
              <w:pStyle w:val="Compact"/>
              <w:jc w:val="left"/>
            </w:pPr>
            <w:r>
              <w:t xml:space="preserve">0.5 kg CO2e/kg</w:t>
            </w:r>
          </w:p>
        </w:tc>
        <w:tc>
          <w:tcPr/>
          <w:p>
            <w:pPr>
              <w:pStyle w:val="Compact"/>
              <w:jc w:val="left"/>
            </w:pPr>
            <w:r>
              <w:t xml:space="preserve">0.03</w:t>
            </w:r>
          </w:p>
        </w:tc>
      </w:tr>
      <w:tr>
        <w:tc>
          <w:tcPr>
            <w:gridSpan w:val="3"/>
          </w:tcPr>
          <w:p>
            <w:pPr>
              <w:pStyle w:val="Compact"/>
              <w:jc w:val="left"/>
            </w:pPr>
            <w:r>
              <w:t xml:space="preserve">Total Material Production Emissions (Scope 3)</w:t>
            </w:r>
          </w:p>
        </w:tc>
        <w:tc>
          <w:tcPr/>
          <w:p>
            <w:pPr>
              <w:pStyle w:val="Compact"/>
              <w:jc w:val="left"/>
            </w:pPr>
            <w:r>
              <w:t xml:space="preserve">3.22 kg CO2e</w:t>
            </w:r>
          </w:p>
        </w:tc>
      </w:tr>
    </w:tbl>
    <w:bookmarkEnd w:id="32"/>
    <w:bookmarkStart w:id="33" w:name="upstream-transportation-and-distribution"/>
    <w:p>
      <w:pPr>
        <w:pStyle w:val="Heading4"/>
      </w:pPr>
      <w:r>
        <w:t xml:space="preserve">4.1.2. Upstream Transportation and Distribution</w:t>
      </w:r>
    </w:p>
    <w:p>
      <w:pPr>
        <w:pStyle w:val="FirstParagraph"/>
      </w:pPr>
      <w:r>
        <w:t xml:space="preserve">Illustrative calculation for inbound raw materials (assuming a weighted average mass of 0.3 kg per unit of nifmxflijs):</w:t>
      </w:r>
    </w:p>
    <w:p>
      <w:pPr>
        <w:numPr>
          <w:ilvl w:val="0"/>
          <w:numId w:val="1008"/>
        </w:numPr>
        <w:pStyle w:val="Compact"/>
      </w:pPr>
      <w:r>
        <w:t xml:space="preserve">Illustrative Mass per unit: 0.3 kg</w:t>
      </w:r>
    </w:p>
    <w:p>
      <w:pPr>
        <w:numPr>
          <w:ilvl w:val="0"/>
          <w:numId w:val="1008"/>
        </w:numPr>
        <w:pStyle w:val="Compact"/>
      </w:pPr>
      <w:r>
        <w:t xml:space="preserve">Illustrative Transport Distance (Ocean Freight): 8,000 km</w:t>
      </w:r>
    </w:p>
    <w:p>
      <w:pPr>
        <w:numPr>
          <w:ilvl w:val="0"/>
          <w:numId w:val="1008"/>
        </w:numPr>
        <w:pStyle w:val="Compact"/>
      </w:pPr>
      <w:r>
        <w:t xml:space="preserve">Illustrative Ocean Freight Emission Factor: 0.016 kg CO2e/tonne-km = 0.000016 kg CO2e/kg-km</w:t>
      </w:r>
    </w:p>
    <w:p>
      <w:pPr>
        <w:numPr>
          <w:ilvl w:val="0"/>
          <w:numId w:val="1008"/>
        </w:numPr>
        <w:pStyle w:val="Compact"/>
      </w:pPr>
      <w:r>
        <w:rPr>
          <w:bCs/>
          <w:b/>
        </w:rPr>
        <w:t xml:space="preserve">Calculation:</w:t>
      </w:r>
      <w:r>
        <w:t xml:space="preserve"> </w:t>
      </w:r>
      <w:r>
        <w:t xml:space="preserve">0.3 kg * 8,000 km * 0.000016 kg CO2e/kg-km = 0.0384 kg CO2e</w:t>
      </w:r>
    </w:p>
    <w:p>
      <w:pPr>
        <w:numPr>
          <w:ilvl w:val="0"/>
          <w:numId w:val="1008"/>
        </w:numPr>
        <w:pStyle w:val="Compact"/>
      </w:pPr>
      <w:r>
        <w:rPr>
          <w:bCs/>
          <w:b/>
        </w:rPr>
        <w:t xml:space="preserve">Total Upstream Transport Emissions (Scope 3):</w:t>
      </w:r>
      <w:r>
        <w:t xml:space="preserve"> </w:t>
      </w:r>
      <w:r>
        <w:t xml:space="preserve">0.0384 kg CO2e</w:t>
      </w:r>
    </w:p>
    <w:bookmarkEnd w:id="33"/>
    <w:bookmarkEnd w:id="34"/>
    <w:bookmarkStart w:id="37" w:name="manufacturing-emissions-factory-gate"/>
    <w:p>
      <w:pPr>
        <w:pStyle w:val="Heading3"/>
      </w:pPr>
      <w:r>
        <w:t xml:space="preserve">4.2. Manufacturing Emissions (Factory Gate)</w:t>
      </w:r>
    </w:p>
    <w:bookmarkStart w:id="35" w:name="scope-2-purchased-electricity"/>
    <w:p>
      <w:pPr>
        <w:pStyle w:val="Heading4"/>
      </w:pPr>
      <w:r>
        <w:t xml:space="preserve">4.2.1. Scope 2: Purchased Electricity</w:t>
      </w:r>
    </w:p>
    <w:p>
      <w:pPr>
        <w:pStyle w:val="FirstParagraph"/>
      </w:pPr>
      <w:r>
        <w:t xml:space="preserve">Illustrative calculation for manufacturing energy in China:</w:t>
      </w:r>
    </w:p>
    <w:p>
      <w:pPr>
        <w:numPr>
          <w:ilvl w:val="0"/>
          <w:numId w:val="1009"/>
        </w:numPr>
        <w:pStyle w:val="Compact"/>
      </w:pPr>
      <w:r>
        <w:t xml:space="preserve">Energy Intensity: 0.8 kWh/unit</w:t>
      </w:r>
    </w:p>
    <w:p>
      <w:pPr>
        <w:numPr>
          <w:ilvl w:val="0"/>
          <w:numId w:val="1009"/>
        </w:numPr>
        <w:pStyle w:val="Compact"/>
      </w:pPr>
      <w:r>
        <w:t xml:space="preserve">Renewable Energy Usage: 60%</w:t>
      </w:r>
    </w:p>
    <w:p>
      <w:pPr>
        <w:numPr>
          <w:ilvl w:val="0"/>
          <w:numId w:val="1009"/>
        </w:numPr>
        <w:pStyle w:val="Compact"/>
      </w:pPr>
      <w:r>
        <w:t xml:space="preserve">Non-Renewable Energy: 100% - 60% = 40%</w:t>
      </w:r>
    </w:p>
    <w:p>
      <w:pPr>
        <w:numPr>
          <w:ilvl w:val="0"/>
          <w:numId w:val="1009"/>
        </w:numPr>
        <w:pStyle w:val="Compact"/>
      </w:pPr>
      <w:r>
        <w:t xml:space="preserve">Illustrative Grid Emission Factor (China): 0.6 kg CO2e/kWh</w:t>
      </w:r>
    </w:p>
    <w:p>
      <w:pPr>
        <w:numPr>
          <w:ilvl w:val="0"/>
          <w:numId w:val="1009"/>
        </w:numPr>
        <w:pStyle w:val="Compact"/>
      </w:pPr>
      <w:r>
        <w:t xml:space="preserve">Illustrative Renewable Energy Emission Factor: 0 kg CO2e/kWh</w:t>
      </w:r>
    </w:p>
    <w:p>
      <w:pPr>
        <w:numPr>
          <w:ilvl w:val="0"/>
          <w:numId w:val="1009"/>
        </w:numPr>
        <w:pStyle w:val="Compact"/>
      </w:pPr>
      <w:r>
        <w:rPr>
          <w:bCs/>
          <w:b/>
        </w:rPr>
        <w:t xml:space="preserve">Calculation:</w:t>
      </w:r>
      <w:r>
        <w:t xml:space="preserve"> </w:t>
      </w:r>
      <w:r>
        <w:t xml:space="preserve">(0.8 kWh/unit * 40% * 0.6 kg CO2e/kWh) + (0.8 kWh/unit * 60% * 0 kg CO2e/kWh) = 0.192 kg CO2e</w:t>
      </w:r>
    </w:p>
    <w:p>
      <w:pPr>
        <w:numPr>
          <w:ilvl w:val="0"/>
          <w:numId w:val="1009"/>
        </w:numPr>
        <w:pStyle w:val="Compact"/>
      </w:pPr>
      <w:r>
        <w:rPr>
          <w:bCs/>
          <w:b/>
        </w:rPr>
        <w:t xml:space="preserve">Total Purchased Electricity Emissions (Scope 2):</w:t>
      </w:r>
      <w:r>
        <w:t xml:space="preserve"> </w:t>
      </w:r>
      <w:r>
        <w:t xml:space="preserve">0.192 kg CO2e</w:t>
      </w:r>
    </w:p>
    <w:bookmarkEnd w:id="35"/>
    <w:bookmarkStart w:id="36" w:name="Xdd93e7c1c8873f06e8a6c4e6ee8e21d0e1873df"/>
    <w:p>
      <w:pPr>
        <w:pStyle w:val="Heading4"/>
      </w:pPr>
      <w:r>
        <w:t xml:space="preserve">4.2.2. Scope 1: Direct Emissions (e.g., on-site fuel combustion, process emissions)</w:t>
      </w:r>
    </w:p>
    <w:p>
      <w:pPr>
        <w:pStyle w:val="FirstParagraph"/>
      </w:pPr>
      <w:r>
        <w:t xml:space="preserve">For this product PCF, and given the "factory_gate" system boundary, direct emissions within the factory are typically process emissions or on-site energy. Assuming minimal direct process emissions for this illustrative product, or that they are covered by energy intensity factors if significant. For demonstration, we assume negligible Scope 1 direct emissions beyond what\'s implicitly captured by energy intensity for the illustrative case.</w:t>
      </w:r>
    </w:p>
    <w:p>
      <w:pPr>
        <w:numPr>
          <w:ilvl w:val="0"/>
          <w:numId w:val="1010"/>
        </w:numPr>
        <w:pStyle w:val="Compact"/>
      </w:pPr>
      <w:r>
        <w:rPr>
          <w:bCs/>
          <w:b/>
        </w:rPr>
        <w:t xml:space="preserve">Total Direct Emissions (Scope 1):</w:t>
      </w:r>
      <w:r>
        <w:t xml:space="preserve"> </w:t>
      </w:r>
      <w:r>
        <w:t xml:space="preserve">0.00 kg CO2e (Illustrative)</w:t>
      </w:r>
    </w:p>
    <w:bookmarkEnd w:id="36"/>
    <w:bookmarkEnd w:id="37"/>
    <w:bookmarkStart w:id="41" w:name="scope-3-downstream-emissions"/>
    <w:p>
      <w:pPr>
        <w:pStyle w:val="Heading3"/>
      </w:pPr>
      <w:r>
        <w:t xml:space="preserve">4.3. Scope 3: Downstream Emissions</w:t>
      </w:r>
    </w:p>
    <w:bookmarkStart w:id="38" w:name="X57c887a1fd0735a9b8db55858fd23d86f021b2d"/>
    <w:p>
      <w:pPr>
        <w:pStyle w:val="Heading4"/>
      </w:pPr>
      <w:r>
        <w:t xml:space="preserve">4.3.1. Downstream Transportation and Distribution (Last-Mile Delivery)</w:t>
      </w:r>
    </w:p>
    <w:p>
      <w:pPr>
        <w:pStyle w:val="FirstParagraph"/>
      </w:pPr>
      <w:r>
        <w:t xml:space="preserve">Illustrative calculation for last-mile delivery:</w:t>
      </w:r>
    </w:p>
    <w:p>
      <w:pPr>
        <w:numPr>
          <w:ilvl w:val="0"/>
          <w:numId w:val="1011"/>
        </w:numPr>
        <w:pStyle w:val="Compact"/>
      </w:pPr>
      <w:r>
        <w:t xml:space="preserve">Illustrative Mass per unit: 0.3 kg</w:t>
      </w:r>
    </w:p>
    <w:p>
      <w:pPr>
        <w:numPr>
          <w:ilvl w:val="0"/>
          <w:numId w:val="1011"/>
        </w:numPr>
        <w:pStyle w:val="Compact"/>
      </w:pPr>
      <w:r>
        <w:t xml:space="preserve">Illustrative Last-Mile Delivery Distance: 50 km</w:t>
      </w:r>
    </w:p>
    <w:p>
      <w:pPr>
        <w:numPr>
          <w:ilvl w:val="0"/>
          <w:numId w:val="1011"/>
        </w:numPr>
        <w:pStyle w:val="Compact"/>
      </w:pPr>
      <w:r>
        <w:t xml:space="preserve">Illustrative Road Freight Emission Factor: 0.069 kg CO2e/tonne-km = 0.000069 kg CO2e/kg-km</w:t>
      </w:r>
    </w:p>
    <w:p>
      <w:pPr>
        <w:numPr>
          <w:ilvl w:val="0"/>
          <w:numId w:val="1011"/>
        </w:numPr>
        <w:pStyle w:val="Compact"/>
      </w:pPr>
      <w:r>
        <w:rPr>
          <w:bCs/>
          <w:b/>
        </w:rPr>
        <w:t xml:space="preserve">Calculation:</w:t>
      </w:r>
      <w:r>
        <w:t xml:space="preserve"> </w:t>
      </w:r>
      <w:r>
        <w:t xml:space="preserve">0.3 kg * 50 km * 0.000069 kg CO2e/kg-km = 0.001035 kg CO2e</w:t>
      </w:r>
    </w:p>
    <w:p>
      <w:pPr>
        <w:numPr>
          <w:ilvl w:val="0"/>
          <w:numId w:val="1011"/>
        </w:numPr>
        <w:pStyle w:val="Compact"/>
      </w:pPr>
      <w:r>
        <w:rPr>
          <w:bCs/>
          <w:b/>
        </w:rPr>
        <w:t xml:space="preserve">Total Downstream Transport Emissions (Scope 3):</w:t>
      </w:r>
      <w:r>
        <w:t xml:space="preserve"> </w:t>
      </w:r>
      <w:r>
        <w:t xml:space="preserve">0.001035 kg CO2e</w:t>
      </w:r>
    </w:p>
    <w:bookmarkEnd w:id="38"/>
    <w:bookmarkStart w:id="39" w:name="use-of-sold-products"/>
    <w:p>
      <w:pPr>
        <w:pStyle w:val="Heading4"/>
      </w:pPr>
      <w:r>
        <w:t xml:space="preserve">4.3.2. Use of Sold Products</w:t>
      </w:r>
    </w:p>
    <w:p>
      <w:pPr>
        <w:pStyle w:val="FirstParagraph"/>
      </w:pPr>
      <w:r>
        <w:t xml:space="preserve">Illustrative calculation for the product\'s use phase (over its lifespan):</w:t>
      </w:r>
    </w:p>
    <w:p>
      <w:pPr>
        <w:numPr>
          <w:ilvl w:val="0"/>
          <w:numId w:val="1012"/>
        </w:numPr>
        <w:pStyle w:val="Compact"/>
      </w:pPr>
      <w:r>
        <w:t xml:space="preserve">Product Lifespan: 5 years</w:t>
      </w:r>
    </w:p>
    <w:p>
      <w:pPr>
        <w:numPr>
          <w:ilvl w:val="0"/>
          <w:numId w:val="1012"/>
        </w:numPr>
        <w:pStyle w:val="Compact"/>
      </w:pPr>
      <w:r>
        <w:t xml:space="preserve">Energy Consumption in Use: 5 kWh/year</w:t>
      </w:r>
    </w:p>
    <w:p>
      <w:pPr>
        <w:numPr>
          <w:ilvl w:val="0"/>
          <w:numId w:val="1012"/>
        </w:numPr>
        <w:pStyle w:val="Compact"/>
      </w:pPr>
      <w:r>
        <w:t xml:space="preserve">Total Energy Consumption over Lifespan: 5 kWh/year * 5 years = 25 kWh</w:t>
      </w:r>
    </w:p>
    <w:p>
      <w:pPr>
        <w:numPr>
          <w:ilvl w:val="0"/>
          <w:numId w:val="1012"/>
        </w:numPr>
        <w:pStyle w:val="Compact"/>
      </w:pPr>
      <w:r>
        <w:t xml:space="preserve">Illustrative Grid Emission Factor (e.g., average European mix for user): 0.25 kg CO2e/kWh</w:t>
      </w:r>
    </w:p>
    <w:p>
      <w:pPr>
        <w:numPr>
          <w:ilvl w:val="0"/>
          <w:numId w:val="1012"/>
        </w:numPr>
        <w:pStyle w:val="Compact"/>
      </w:pPr>
      <w:r>
        <w:rPr>
          <w:bCs/>
          <w:b/>
        </w:rPr>
        <w:t xml:space="preserve">Calculation:</w:t>
      </w:r>
      <w:r>
        <w:t xml:space="preserve"> </w:t>
      </w:r>
      <w:r>
        <w:t xml:space="preserve">25 kWh * 0.25 kg CO2e/kWh = 6.25 kg CO2e</w:t>
      </w:r>
    </w:p>
    <w:p>
      <w:pPr>
        <w:numPr>
          <w:ilvl w:val="0"/>
          <w:numId w:val="1012"/>
        </w:numPr>
        <w:pStyle w:val="Compact"/>
      </w:pPr>
      <w:r>
        <w:rPr>
          <w:bCs/>
          <w:b/>
        </w:rPr>
        <w:t xml:space="preserve">Total Use Phase Emissions (Scope 3):</w:t>
      </w:r>
      <w:r>
        <w:t xml:space="preserve"> </w:t>
      </w:r>
      <w:r>
        <w:t xml:space="preserve">6.25 kg CO2e</w:t>
      </w:r>
    </w:p>
    <w:bookmarkEnd w:id="39"/>
    <w:bookmarkStart w:id="40" w:name="end-of-life-treatment-of-sold-products"/>
    <w:p>
      <w:pPr>
        <w:pStyle w:val="Heading4"/>
      </w:pPr>
      <w:r>
        <w:t xml:space="preserve">4.3.3. End-of-Life Treatment of Sold Products</w:t>
      </w:r>
    </w:p>
    <w:p>
      <w:pPr>
        <w:pStyle w:val="FirstParagraph"/>
      </w:pPr>
      <w:r>
        <w:t xml:space="preserve">Illustrative calculation for End-of-Life scenario:</w:t>
      </w:r>
    </w:p>
    <w:p>
      <w:pPr>
        <w:numPr>
          <w:ilvl w:val="0"/>
          <w:numId w:val="1013"/>
        </w:numPr>
        <w:pStyle w:val="Compact"/>
      </w:pPr>
      <w:r>
        <w:t xml:space="preserve">Illustrative Mass per unit: 0.3 kg</w:t>
      </w:r>
    </w:p>
    <w:p>
      <w:pPr>
        <w:numPr>
          <w:ilvl w:val="0"/>
          <w:numId w:val="1013"/>
        </w:numPr>
        <w:pStyle w:val="Compact"/>
      </w:pPr>
      <w:r>
        <w:t xml:space="preserve">Recyclability Percentage: 70%</w:t>
      </w:r>
    </w:p>
    <w:p>
      <w:pPr>
        <w:numPr>
          <w:ilvl w:val="0"/>
          <w:numId w:val="1013"/>
        </w:numPr>
        <w:pStyle w:val="Compact"/>
      </w:pPr>
      <w:r>
        <w:t xml:space="preserve">Mass Recycled: 0.3 kg * 70% = 0.21 kg</w:t>
      </w:r>
    </w:p>
    <w:p>
      <w:pPr>
        <w:numPr>
          <w:ilvl w:val="0"/>
          <w:numId w:val="1013"/>
        </w:numPr>
        <w:pStyle w:val="Compact"/>
      </w:pPr>
      <w:r>
        <w:t xml:space="preserve">Mass to Landfill: 0.3 kg * (100% - 70%) = 0.09 kg</w:t>
      </w:r>
    </w:p>
    <w:p>
      <w:pPr>
        <w:numPr>
          <w:ilvl w:val="0"/>
          <w:numId w:val="1013"/>
        </w:numPr>
        <w:pStyle w:val="Compact"/>
      </w:pPr>
      <w:r>
        <w:t xml:space="preserve">Illustrative Waste to Landfill Emission Factor: 0.2 kg CO2e/kg</w:t>
      </w:r>
    </w:p>
    <w:p>
      <w:pPr>
        <w:numPr>
          <w:ilvl w:val="0"/>
          <w:numId w:val="1013"/>
        </w:numPr>
        <w:pStyle w:val="Compact"/>
      </w:pPr>
      <w:r>
        <w:t xml:space="preserve">Illustrative Recycling Credit: -1.0 kg CO2e/kg (for materials recycled, assuming they displace virgin material production)</w:t>
      </w:r>
    </w:p>
    <w:p>
      <w:pPr>
        <w:numPr>
          <w:ilvl w:val="0"/>
          <w:numId w:val="1013"/>
        </w:numPr>
        <w:pStyle w:val="Compact"/>
      </w:pPr>
      <w:r>
        <w:rPr>
          <w:bCs/>
          <w:b/>
        </w:rPr>
        <w:t xml:space="preserve">Calculation (Landfill):</w:t>
      </w:r>
      <w:r>
        <w:t xml:space="preserve"> </w:t>
      </w:r>
      <w:r>
        <w:t xml:space="preserve">0.09 kg * 0.2 kg CO2e/kg = 0.018 kg CO2e</w:t>
      </w:r>
    </w:p>
    <w:p>
      <w:pPr>
        <w:numPr>
          <w:ilvl w:val="0"/>
          <w:numId w:val="1013"/>
        </w:numPr>
        <w:pStyle w:val="Compact"/>
      </w:pPr>
      <w:r>
        <w:rPr>
          <w:bCs/>
          <w:b/>
        </w:rPr>
        <w:t xml:space="preserve">Calculation (Recycling Credit):</w:t>
      </w:r>
      <w:r>
        <w:t xml:space="preserve"> </w:t>
      </w:r>
      <w:r>
        <w:t xml:space="preserve">0.21 kg * -1.0 kg CO2e/kg = -0.21 kg CO2e</w:t>
      </w:r>
    </w:p>
    <w:p>
      <w:pPr>
        <w:numPr>
          <w:ilvl w:val="0"/>
          <w:numId w:val="1013"/>
        </w:numPr>
        <w:pStyle w:val="Compact"/>
      </w:pPr>
      <w:r>
        <w:rPr>
          <w:bCs/>
          <w:b/>
        </w:rPr>
        <w:t xml:space="preserve">Total End-of-Life Emissions/Credits (Scope 3):</w:t>
      </w:r>
      <w:r>
        <w:t xml:space="preserve"> </w:t>
      </w:r>
      <w:r>
        <w:t xml:space="preserve">0.018 - 0.21 = -0.192 kg CO2e</w:t>
      </w:r>
    </w:p>
    <w:bookmarkEnd w:id="40"/>
    <w:bookmarkEnd w:id="41"/>
    <w:bookmarkStart w:id="42" w:name="Xf64d3a6aaa05d57136cabc8089cbb99dd7ca1a4"/>
    <w:p>
      <w:pPr>
        <w:pStyle w:val="Heading3"/>
      </w:pPr>
      <w:r>
        <w:t xml:space="preserve">Summary of Emissions by Scope (Illustrative)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Illustrative Emissions (kg CO2e)</w:t>
            </w:r>
          </w:p>
        </w:tc>
      </w:tr>
      <w:tr>
        <w:tc>
          <w:tcPr/>
          <w:p>
            <w:pPr>
              <w:pStyle w:val="Compact"/>
              <w:jc w:val="left"/>
            </w:pPr>
            <w:r>
              <w:t xml:space="preserve">Scope 1</w:t>
            </w:r>
          </w:p>
        </w:tc>
        <w:tc>
          <w:tcPr/>
          <w:p>
            <w:pPr>
              <w:pStyle w:val="Compact"/>
              <w:jc w:val="left"/>
            </w:pPr>
            <w:r>
              <w:t xml:space="preserve">Direct Emissions (e.g., process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0.192</w:t>
            </w:r>
          </w:p>
        </w:tc>
      </w:tr>
      <w:tr>
        <w:tc>
          <w:tcPr>
            <w:vMerge w:val="restart"/>
          </w:tcPr>
          <w:p>
            <w:pPr>
              <w:pStyle w:val="Compact"/>
              <w:jc w:val="left"/>
            </w:pPr>
            <w:r>
              <w:t xml:space="preserve">Scope 3</w:t>
            </w:r>
          </w:p>
        </w:tc>
        <w:tc>
          <w:tcPr/>
          <w:p>
            <w:pPr>
              <w:pStyle w:val="Compact"/>
              <w:jc w:val="left"/>
            </w:pPr>
            <w:r>
              <w:t xml:space="preserve">Material Production (Upstream)</w:t>
            </w:r>
          </w:p>
        </w:tc>
        <w:tc>
          <w:tcPr/>
          <w:p>
            <w:pPr>
              <w:pStyle w:val="Compact"/>
              <w:jc w:val="left"/>
            </w:pPr>
            <w:r>
              <w:t xml:space="preserve">3.22</w:t>
            </w:r>
          </w:p>
        </w:tc>
      </w:tr>
      <w:tr>
        <w:tc>
          <w:tcPr>
            <w:gridSpan w:val="1"/>
            <w:vMerge w:val="continue"/>
          </w:tcPr>
          <w:p>
            <w:pPr/>
          </w:p>
        </w:tc>
        <w:tc>
          <w:tcPr/>
          <w:p>
            <w:pPr>
              <w:pStyle w:val="Compact"/>
              <w:jc w:val="left"/>
            </w:pPr>
            <w:r>
              <w:t xml:space="preserve">Upstream Transportation</w:t>
            </w:r>
          </w:p>
        </w:tc>
        <w:tc>
          <w:tcPr/>
          <w:p>
            <w:pPr>
              <w:pStyle w:val="Compact"/>
              <w:jc w:val="left"/>
            </w:pPr>
            <w:r>
              <w:t xml:space="preserve">0.0384</w:t>
            </w:r>
          </w:p>
        </w:tc>
      </w:tr>
      <w:tr>
        <w:tc>
          <w:tcPr>
            <w:gridSpan w:val="1"/>
            <w:vMerge w:val="continue"/>
          </w:tcPr>
          <w:p>
            <w:pPr/>
          </w:p>
        </w:tc>
        <w:tc>
          <w:tcPr/>
          <w:p>
            <w:pPr>
              <w:pStyle w:val="Compact"/>
              <w:jc w:val="left"/>
            </w:pPr>
            <w:r>
              <w:t xml:space="preserve">Downstream Transportation (Last-Mile)</w:t>
            </w:r>
          </w:p>
        </w:tc>
        <w:tc>
          <w:tcPr/>
          <w:p>
            <w:pPr>
              <w:pStyle w:val="Compact"/>
              <w:jc w:val="left"/>
            </w:pPr>
            <w:r>
              <w:t xml:space="preserve">0.001035</w:t>
            </w:r>
          </w:p>
        </w:tc>
      </w:tr>
      <w:tr>
        <w:tc>
          <w:tcPr>
            <w:gridSpan w:val="1"/>
            <w:vMerge w:val="continue"/>
          </w:tcPr>
          <w:p>
            <w:pPr/>
          </w:p>
        </w:tc>
        <w:tc>
          <w:tcPr/>
          <w:p>
            <w:pPr>
              <w:pStyle w:val="Compact"/>
              <w:jc w:val="left"/>
            </w:pPr>
            <w:r>
              <w:t xml:space="preserve">Use of Sold Products</w:t>
            </w:r>
          </w:p>
        </w:tc>
        <w:tc>
          <w:tcPr/>
          <w:p>
            <w:pPr>
              <w:pStyle w:val="Compact"/>
              <w:jc w:val="left"/>
            </w:pPr>
            <w:r>
              <w:t xml:space="preserve">6.25</w:t>
            </w:r>
          </w:p>
        </w:tc>
      </w:tr>
      <w:tr>
        <w:tc>
          <w:tcPr/>
          <w:p>
            <w:pPr>
              <w:pStyle w:val="Compact"/>
              <w:jc w:val="left"/>
            </w:pPr>
            <w:r>
              <w:t xml:space="preserve">Scope 3 (Credits)</w:t>
            </w:r>
          </w:p>
        </w:tc>
        <w:tc>
          <w:tcPr/>
          <w:p>
            <w:pPr>
              <w:pStyle w:val="Compact"/>
              <w:jc w:val="left"/>
            </w:pPr>
            <w:r>
              <w:t xml:space="preserve">End-of-Life Treatment (Net)</w:t>
            </w:r>
          </w:p>
        </w:tc>
        <w:tc>
          <w:tcPr/>
          <w:p>
            <w:pPr>
              <w:pStyle w:val="Compact"/>
              <w:jc w:val="left"/>
            </w:pPr>
            <w:r>
              <w:t xml:space="preserve">-0.192</w:t>
            </w:r>
          </w:p>
        </w:tc>
      </w:tr>
      <w:tr>
        <w:tc>
          <w:tcPr>
            <w:gridSpan w:val="2"/>
          </w:tcPr>
          <w:p>
            <w:pPr>
              <w:pStyle w:val="Compact"/>
              <w:jc w:val="left"/>
            </w:pPr>
            <w:r>
              <w:t xml:space="preserve">Total Product Carbon Footprint for nifmxflijs</w:t>
            </w:r>
          </w:p>
        </w:tc>
        <w:tc>
          <w:tcPr/>
          <w:p>
            <w:pPr>
              <w:pStyle w:val="Compact"/>
              <w:jc w:val="left"/>
            </w:pPr>
            <w:r>
              <w:t xml:space="preserve">9.51 kg CO2e</w:t>
            </w:r>
          </w:p>
        </w:tc>
      </w:tr>
    </w:tbl>
    <w:p>
      <w:pPr>
        <w:pStyle w:val="BodyText"/>
      </w:pPr>
      <w:r>
        <w:t xml:space="preserve">Note: The "Total Carbon" in the BOM table and subsequent calculations reflect CO2e emissions. All figures are illustrative due to placeholder input data.</w:t>
      </w:r>
    </w:p>
    <w:bookmarkEnd w:id="42"/>
    <w:bookmarkStart w:id="43" w:name="lsr-standard-application-conceptual"/>
    <w:p>
      <w:pPr>
        <w:pStyle w:val="Heading3"/>
      </w:pPr>
      <w:r>
        <w:t xml:space="preserve">4.4. 2026 LSR Standard Application (Conceptual)</w:t>
      </w:r>
    </w:p>
    <w:p>
      <w:pPr>
        <w:pStyle w:val="FirstParagraph"/>
      </w:pPr>
      <w:r>
        <w:t xml:space="preserve">While the "factory_gate" boundary for nifmxflijs may not directly involve significant land management or land-use change, the 2026 LSR Standard is conceptually applied by ensuring that any raw materials sourced, particularly those derived from agriculture or forestry (even if indirect through complex supply chains), would be assessed for their land-related emissions and removals. For a more comprehensive PCF beyond "factory_gate", the LSR Standard would guide the quantification of CO2 removals with storage in land and geologic carbon pools, and emissions from biogenic products across the value chain.</w:t>
      </w:r>
    </w:p>
    <w:bookmarkEnd w:id="43"/>
    <w:bookmarkStart w:id="44" w:name="scope-3-compliance-95-coverage"/>
    <w:p>
      <w:pPr>
        <w:pStyle w:val="Heading3"/>
      </w:pPr>
      <w:r>
        <w:t xml:space="preserve">4.5. Scope 3 Compliance (95% Coverage)</w:t>
      </w:r>
    </w:p>
    <w:p>
      <w:pPr>
        <w:pStyle w:val="FirstParagraph"/>
      </w:pPr>
      <w:r>
        <w:t xml:space="preserve">The detailed breakdown of upstream and downstream activities (material acquisition, transportation, use phase, end-of-life) demonstrates the commitment to achieving at least 95% coverage for Scope 3 emissions, as required by the GHG Protocol\'s 2026 updates. By mapping out each significant stage and utilizing specific (albeit illustrative) data points, the aim is to minimize excluded emissions and ensure a comprehensive assessment of the value chain. The disaggregation of data types for future reporting will further enhance transparency.</w:t>
      </w:r>
    </w:p>
    <w:p>
      <w:r>
        <w:pict>
          <v:rect style="width:0;height:1.5pt" o:hralign="center" o:hrstd="t" o:hr="t"/>
        </w:pict>
      </w:r>
    </w:p>
    <w:bookmarkEnd w:id="44"/>
    <w:bookmarkEnd w:id="45"/>
    <w:bookmarkStart w:id="48" w:name="review-report"/>
    <w:p>
      <w:pPr>
        <w:pStyle w:val="Heading2"/>
      </w:pPr>
      <w:r>
        <w:t xml:space="preserve">5. Review &amp; Report</w:t>
      </w:r>
    </w:p>
    <w:bookmarkStart w:id="46" w:name="hotspots-and-reliability"/>
    <w:p>
      <w:pPr>
        <w:pStyle w:val="Heading3"/>
      </w:pPr>
      <w:r>
        <w:t xml:space="preserve">5.1. Hotspots and Reliability</w:t>
      </w:r>
    </w:p>
    <w:p>
      <w:pPr>
        <w:pStyle w:val="FirstParagraph"/>
      </w:pPr>
      <w:r>
        <w:t xml:space="preserve">Based on the illustrative calculations for nifmxflijs, the primary emission hotspots are:</w:t>
      </w:r>
    </w:p>
    <w:p>
      <w:pPr>
        <w:numPr>
          <w:ilvl w:val="0"/>
          <w:numId w:val="1014"/>
        </w:numPr>
        <w:pStyle w:val="Compact"/>
      </w:pPr>
      <w:r>
        <w:rPr>
          <w:bCs/>
          <w:b/>
        </w:rPr>
        <w:t xml:space="preserve">Use Phase (6.25 kg CO2e):</w:t>
      </w:r>
      <w:r>
        <w:t xml:space="preserve"> </w:t>
      </w:r>
      <w:r>
        <w:t xml:space="preserve">This stage represents the largest portion of the product\'s carbon footprint in this illustrative analysis, emphasizing the importance of energy-efficient design and user behavior.</w:t>
      </w:r>
    </w:p>
    <w:p>
      <w:pPr>
        <w:numPr>
          <w:ilvl w:val="0"/>
          <w:numId w:val="1014"/>
        </w:numPr>
        <w:pStyle w:val="Compact"/>
      </w:pPr>
      <w:r>
        <w:rPr>
          <w:bCs/>
          <w:b/>
        </w:rPr>
        <w:t xml:space="preserve">Material Production (3.22 kg CO2e):</w:t>
      </w:r>
      <w:r>
        <w:t xml:space="preserve"> </w:t>
      </w:r>
      <w:r>
        <w:t xml:space="preserve">The choice of materials, particularly those with high embodied energy like aluminum, significantly contributes to the upstream footprint.</w:t>
      </w:r>
    </w:p>
    <w:p>
      <w:pPr>
        <w:pStyle w:val="FirstParagraph"/>
      </w:pPr>
      <w:r>
        <w:rPr>
          <w:bCs/>
          <w:b/>
        </w:rPr>
        <w:t xml:space="preserve">Data Reliability:</w:t>
      </w:r>
      <w:r>
        <w:t xml:space="preserve"> </w:t>
      </w:r>
      <w:r>
        <w:t xml:space="preserve">The reliability of the reported PCF heavily depends on the quality and specificity of the input data. For this report, due to placeholder inputs, illustrative emission factors from generally recognized sources like Ecoinvent and DEFRA have been used. To improve reliability in actual reporting, primary data from suppliers (e.g., actual energy consumption, specific material production data) should be collected wherever possible.</w:t>
      </w:r>
    </w:p>
    <w:bookmarkEnd w:id="46"/>
    <w:bookmarkStart w:id="47" w:name="recommendations-for-emission-reduction"/>
    <w:p>
      <w:pPr>
        <w:pStyle w:val="Heading3"/>
      </w:pPr>
      <w:r>
        <w:t xml:space="preserve">5.2. Recommendations for Emission Reduction</w:t>
      </w:r>
    </w:p>
    <w:p>
      <w:pPr>
        <w:pStyle w:val="FirstParagraph"/>
      </w:pPr>
      <w:r>
        <w:t xml:space="preserve">To reduce the product carbon footprint of nifmxflijs, xjfujhyfhv should consider the following:</w:t>
      </w:r>
    </w:p>
    <w:p>
      <w:pPr>
        <w:numPr>
          <w:ilvl w:val="0"/>
          <w:numId w:val="1015"/>
        </w:numPr>
        <w:pStyle w:val="Compact"/>
      </w:pPr>
      <w:r>
        <w:rPr>
          <w:bCs/>
          <w:b/>
        </w:rPr>
        <w:t xml:space="preserve">Optimize Use Phase:</w:t>
      </w:r>
      <w:r>
        <w:t xml:space="preserve"> </w:t>
      </w:r>
      <w:r>
        <w:t xml:space="preserve">Invest in R&amp;D for more energy-efficient product design, longer product lifespans, and provide guidance to consumers on sustainable use to reduce operational energy consumption.</w:t>
      </w:r>
    </w:p>
    <w:p>
      <w:pPr>
        <w:numPr>
          <w:ilvl w:val="0"/>
          <w:numId w:val="1015"/>
        </w:numPr>
        <w:pStyle w:val="Compact"/>
      </w:pPr>
      <w:r>
        <w:rPr>
          <w:bCs/>
          <w:b/>
        </w:rPr>
        <w:t xml:space="preserve">Sustainable Material Sourcing:</w:t>
      </w:r>
      <w:r>
        <w:t xml:space="preserve"> </w:t>
      </w:r>
      <w:r>
        <w:t xml:space="preserve">Explore alternative materials with lower embodied carbon, increase the use of recycled content, and engage with suppliers to improve their manufacturing processes\' environmental performance.</w:t>
      </w:r>
    </w:p>
    <w:p>
      <w:pPr>
        <w:numPr>
          <w:ilvl w:val="0"/>
          <w:numId w:val="1015"/>
        </w:numPr>
        <w:pStyle w:val="Compact"/>
      </w:pPr>
      <w:r>
        <w:rPr>
          <w:bCs/>
          <w:b/>
        </w:rPr>
        <w:t xml:space="preserve">Enhance Circularity:</w:t>
      </w:r>
      <w:r>
        <w:t xml:space="preserve"> </w:t>
      </w:r>
      <w:r>
        <w:t xml:space="preserve">Strengthen existing circular/take-back programs to maximize material recovery and recycling rates, further reducing the need for virgin materials and mitigating end-of-life impacts.</w:t>
      </w:r>
    </w:p>
    <w:p>
      <w:pPr>
        <w:numPr>
          <w:ilvl w:val="0"/>
          <w:numId w:val="1015"/>
        </w:numPr>
        <w:pStyle w:val="Compact"/>
      </w:pPr>
      <w:r>
        <w:rPr>
          <w:bCs/>
          <w:b/>
        </w:rPr>
        <w:t xml:space="preserve">Green Logistics:</w:t>
      </w:r>
      <w:r>
        <w:t xml:space="preserve"> </w:t>
      </w:r>
      <w:r>
        <w:t xml:space="preserve">Evaluate opportunities to optimize transport routes, utilize lower-emission transport modes where feasible, and collaborate with logistics partners committed to decarbonization.</w:t>
      </w:r>
    </w:p>
    <w:p>
      <w:r>
        <w:pict>
          <v:rect style="width:0;height:1.5pt" o:hralign="center" o:hrstd="t" o:hr="t"/>
        </w:pict>
      </w:r>
    </w:p>
    <w:bookmarkEnd w:id="47"/>
    <w:bookmarkEnd w:id="48"/>
    <w:p>
      <w:pPr>
        <w:pStyle w:val="FirstParagraph"/>
      </w:pPr>
      <w:r>
        <w:t xml:space="preserve">Confidential - Internal Use Only | 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nifmxflijs</dc:title>
  <dc:creator/>
  <dc:description>High-detail Product Carbon Footprint (PCF) analysis report for product nifmxflijs by xjfujhyfhv, adhering to GHG Protocol and 2026 updates, prepared by Senior Sustainability Consultant gwfifegfgg.</dc:description>
  <dc:language>en</dc:language>
  <cp:keywords/>
  <dcterms:created xsi:type="dcterms:W3CDTF">2026-07-15T09:08:52Z</dcterms:created>
  <dcterms:modified xsi:type="dcterms:W3CDTF">2026-07-15T09:08:52Z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