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nhmqqfrejd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nhmqqfrejd</w:t>
      </w:r>
    </w:p>
    <w:p>
      <w:pPr>
        <w:pStyle w:val="BodyText"/>
      </w:pPr>
      <w:r>
        <w:rPr>
          <w:bCs/>
          <w:b/>
        </w:rPr>
        <w:t xml:space="preserve">Company Name:</w:t>
      </w:r>
      <w:r>
        <w:t xml:space="preserve"> </w:t>
      </w:r>
      <w:r>
        <w:t xml:space="preserve">rlhzpzjtrx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gpuiurvgww</w:t>
      </w:r>
    </w:p>
    <w:p>
      <w:pPr>
        <w:pStyle w:val="BodyText"/>
      </w:pPr>
      <w:r>
        <w:t xml:space="preserve">This report is generated based on available data and industry standards. While every effort has been made to ensure accuracy,</w:t>
      </w:r>
      <w:r>
        <w:t xml:space="preserve"> </w:t>
      </w:r>
      <w:r>
        <w:t xml:space="preserve">the calculations rely on the completeness and correctness of the provided parameters and assumed generic emission factors where specific data was unavailable.</w:t>
      </w:r>
    </w:p>
    <w:bookmarkEnd w:id="20"/>
    <w:p>
      <w:pPr>
        <w:pStyle w:val="BodyText"/>
      </w:pPr>
      <w:r>
        <w:t xml:space="preserve">Product Carbon Footprint Report for nhmqqfrejd | Generated Date: May 22, 2026</w:t>
      </w:r>
    </w:p>
    <w:bookmarkStart w:id="41" w:name="X3f0138ab40cb304d14deec9269e36f27ebd1dbd"/>
    <w:p>
      <w:pPr>
        <w:pStyle w:val="Heading1"/>
      </w:pPr>
      <w:r>
        <w:t xml:space="preserve">Product Carbon Footprint Analysis for nhmqqfrejd</w:t>
      </w:r>
    </w:p>
    <w:p>
      <w:pPr>
        <w:pStyle w:val="FirstParagraph"/>
      </w:pPr>
      <w:r>
        <w:rPr>
          <w:bCs/>
          <w:b/>
        </w:rPr>
        <w:t xml:space="preserve">Generated Date:</w:t>
      </w:r>
      <w:r>
        <w:t xml:space="preserve"> </w:t>
      </w:r>
      <w:r>
        <w:t xml:space="preserve">May 22, 2026</w:t>
      </w:r>
    </w:p>
    <w:p>
      <w:pPr>
        <w:pStyle w:val="BodyText"/>
      </w:pPr>
      <w:r>
        <w:t xml:space="preserve">This high-detail Product Carbon Footprint (PCF) analysis has been prepared by gpuiurvgww, Senior Sustainability Consultant</w:t>
      </w:r>
      <w:r>
        <w:t xml:space="preserve"> </w:t>
      </w:r>
      <w:r>
        <w:t xml:space="preserve">specializing in GHG Protocol, for the product nhmqqfrejd manufactured by rlhzpzjtrx.</w:t>
      </w:r>
      <w:r>
        <w:t xml:space="preserve"> </w:t>
      </w:r>
      <w:r>
        <w:t xml:space="preserve">The report adheres strictly to the GHG Protocol and incorporates the latest 2026 Land Sector and Removals (LSR) Standard updates,</w:t>
      </w:r>
      <w:r>
        <w:t xml:space="preserve"> </w:t>
      </w:r>
      <w:r>
        <w:t xml:space="preserve">with a commitment to achieving at least 95% coverage for Scope 3 emissions reporting.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quantifies the cradle-to-grave greenhouse gas (GHG) emissions associated with the product nhmqqfrejd.</w:t>
      </w:r>
      <w:r>
        <w:t xml:space="preserve"> </w:t>
      </w:r>
      <w:r>
        <w:t xml:space="preserve">The analysis identifies key emission hotspots across the product\'s lifecycle, from raw material extraction and processing,</w:t>
      </w:r>
      <w:r>
        <w:t xml:space="preserve"> </w:t>
      </w:r>
      <w:r>
        <w:t xml:space="preserve">through manufacturing, transportation, use, and end-of-life. By meticulously applying the GHG Protocol,</w:t>
      </w:r>
      <w:r>
        <w:t xml:space="preserve"> </w:t>
      </w:r>
      <w:r>
        <w:t xml:space="preserve">rlhzpzjtrx gains critical insights to inform sustainability strategies, target emission reduction opportunities,</w:t>
      </w:r>
      <w:r>
        <w:t xml:space="preserve"> </w:t>
      </w:r>
      <w:r>
        <w:t xml:space="preserve">and enhance transparency in its value chain.</w:t>
      </w:r>
    </w:p>
    <w:bookmarkEnd w:id="21"/>
    <w:p>
      <w:r>
        <w:pict>
          <v:rect style="width:0;height:1.5pt" o:hralign="center" o:hrstd="t" o:hr="t"/>
        </w:pict>
      </w:r>
    </w:p>
    <w:bookmarkStart w:id="30" w:name="methodology"/>
    <w:p>
      <w:pPr>
        <w:pStyle w:val="Heading2"/>
      </w:pPr>
      <w:r>
        <w:t xml:space="preserve">Methodology</w:t>
      </w:r>
    </w:p>
    <w:p>
      <w:pPr>
        <w:pStyle w:val="FirstParagraph"/>
      </w:pPr>
      <w:r>
        <w:t xml:space="preserve">The Product Carbon Footprint (PCF) analysis for nhmqqfrejd follows a five-step methodology in accordance with the GHG Protocol.</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nhmqqfrejd.</w:t>
      </w:r>
    </w:p>
    <w:p>
      <w:pPr>
        <w:numPr>
          <w:ilvl w:val="0"/>
          <w:numId w:val="1001"/>
        </w:numPr>
        <w:pStyle w:val="Compact"/>
      </w:pPr>
      <w:r>
        <w:rPr>
          <w:bCs/>
          <w:b/>
        </w:rPr>
        <w:t xml:space="preserve">System Boundary:</w:t>
      </w:r>
      <w:r>
        <w:t xml:space="preserve"> </w:t>
      </w:r>
      <w:r>
        <w:t xml:space="preserve">A cradle-to-grave approach, encompassing all stages from raw material acquisition to end-of-life, with a specific focus on the \'factory_gate\' for direct production impacts.</w:t>
      </w:r>
    </w:p>
    <w:p>
      <w:pPr>
        <w:numPr>
          <w:ilvl w:val="0"/>
          <w:numId w:val="1001"/>
        </w:numPr>
        <w:pStyle w:val="Compact"/>
      </w:pPr>
      <w:r>
        <w:rPr>
          <w:bCs/>
          <w:b/>
        </w:rPr>
        <w:t xml:space="preserve">Geographic Scope:</w:t>
      </w:r>
      <w:r>
        <w:t xml:space="preserve"> </w:t>
      </w:r>
      <w:r>
        <w:t xml:space="preserve">Final production country is China, with a supply chain focus on Europe. Use phase and End-of-Life (EoL) are considered globally representative.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shared processes, appropriate allocation methods (e.g., mass, economic) would be applied if specific data were available; for this report, direct allocation is assumed where possible.</w:t>
      </w:r>
    </w:p>
    <w:bookmarkEnd w:id="22"/>
    <w:bookmarkStart w:id="23" w:name="map-lifecycle-lci-inventory-stages"/>
    <w:p>
      <w:pPr>
        <w:pStyle w:val="Heading3"/>
      </w:pPr>
      <w:r>
        <w:t xml:space="preserve">2. Map Lifecycle (LCI Inventory Stages)</w:t>
      </w:r>
    </w:p>
    <w:p>
      <w:pPr>
        <w:pStyle w:val="FirstParagraph"/>
      </w:pPr>
      <w:r>
        <w:t xml:space="preserve">The lifecycle of nhmqqfrejd is segmented into the following stages for comprehensive inventory collection:</w:t>
      </w:r>
    </w:p>
    <w:p>
      <w:pPr>
        <w:numPr>
          <w:ilvl w:val="0"/>
          <w:numId w:val="1002"/>
        </w:numPr>
        <w:pStyle w:val="Compact"/>
      </w:pPr>
      <w:r>
        <w:rPr>
          <w:bCs/>
          <w:b/>
        </w:rPr>
        <w:t xml:space="preserve">Materials Acquisition &amp; Pre-processing (Scope 3, Upstream):</w:t>
      </w:r>
      <w:r>
        <w:t xml:space="preserve"> </w:t>
      </w:r>
      <w:r>
        <w:t xml:space="preserve">Extraction, production, and initial processing of all raw materials detailed in the Bill of Materials (BOM).</w:t>
      </w:r>
    </w:p>
    <w:p>
      <w:pPr>
        <w:numPr>
          <w:ilvl w:val="0"/>
          <w:numId w:val="1002"/>
        </w:numPr>
        <w:pStyle w:val="Compact"/>
      </w:pPr>
      <w:r>
        <w:rPr>
          <w:bCs/>
          <w:b/>
        </w:rPr>
        <w:t xml:space="preserve">Manufacturing/Production (Scope 1 &amp; 2, Partial Scope 3 Upstream):</w:t>
      </w:r>
      <w:r>
        <w:t xml:space="preserve"> </w:t>
      </w:r>
      <w:r>
        <w:t xml:space="preserve">Emissions from factory operations, including direct fuel combustion (Scope 1) and purchased electricity (Scope 2). Any upstream emissions related to tools or ancillary materials not in the BOM are also considered Scope 3.</w:t>
      </w:r>
    </w:p>
    <w:p>
      <w:pPr>
        <w:numPr>
          <w:ilvl w:val="0"/>
          <w:numId w:val="1002"/>
        </w:numPr>
        <w:pStyle w:val="Compact"/>
      </w:pPr>
      <w:r>
        <w:rPr>
          <w:bCs/>
          <w:b/>
        </w:rPr>
        <w:t xml:space="preserve">Transportation &amp; Distribution (Scope 3, Upstream &amp; Downstream):</w:t>
      </w:r>
      <w:r>
        <w:t xml:space="preserve"> </w:t>
      </w:r>
      <w:r>
        <w:t xml:space="preserve">Inbound logistics of materials to the factory, and outbound logistics of the finished product to the customer.</w:t>
      </w:r>
    </w:p>
    <w:p>
      <w:pPr>
        <w:numPr>
          <w:ilvl w:val="0"/>
          <w:numId w:val="1002"/>
        </w:numPr>
        <w:pStyle w:val="Compact"/>
      </w:pPr>
      <w:r>
        <w:rPr>
          <w:bCs/>
          <w:b/>
        </w:rPr>
        <w:t xml:space="preserve">Use Phase (Scope 3, Downstream):</w:t>
      </w:r>
      <w:r>
        <w:t xml:space="preserve"> </w:t>
      </w:r>
      <w:r>
        <w:t xml:space="preserve">Energy consumption during the product\'s expected lifespan and any associated emissions.</w:t>
      </w:r>
    </w:p>
    <w:p>
      <w:pPr>
        <w:numPr>
          <w:ilvl w:val="0"/>
          <w:numId w:val="1002"/>
        </w:numPr>
        <w:pStyle w:val="Compact"/>
      </w:pPr>
      <w:r>
        <w:rPr>
          <w:bCs/>
          <w:b/>
        </w:rPr>
        <w:t xml:space="preserve">End-of-Life (EoL) (Scope 3, Downstream):</w:t>
      </w:r>
      <w:r>
        <w:t xml:space="preserve"> </w:t>
      </w:r>
      <w:r>
        <w:t xml:space="preserve">Disposal or recycling processes at the end of the product\'s useful life.</w:t>
      </w:r>
    </w:p>
    <w:bookmarkEnd w:id="23"/>
    <w:bookmarkStart w:id="26" w:name="Xb57f50a89bf1f3f1837369be949d9d60d6c1272"/>
    <w:p>
      <w:pPr>
        <w:pStyle w:val="Heading3"/>
      </w:pPr>
      <w:r>
        <w:t xml:space="preserve">3. Collect Data (Primary/Secondary Data Points)</w:t>
      </w:r>
    </w:p>
    <w:p>
      <w:pPr>
        <w:pStyle w:val="FirstParagraph"/>
      </w:pPr>
      <w:r>
        <w:t xml:space="preserve">Data collection involves gathering both primary data (specific to rlhzpzjtrx and nhmqqfrejd) and secondary data (industry averages and databases).</w:t>
      </w:r>
    </w:p>
    <w:bookmarkStart w:id="24" w:name="X375f90d34e2738bf774185f3c83efd090ce459a"/>
    <w:p>
      <w:pPr>
        <w:pStyle w:val="Heading4"/>
      </w:pPr>
      <w:r>
        <w:t xml:space="preserve">Detailed Breakdown of Materials and Energy Inputs:</w:t>
      </w:r>
    </w:p>
    <w:p>
      <w:pPr>
        <w:pStyle w:val="FirstParagraph"/>
      </w:pPr>
      <w:r>
        <w:t xml:space="preserve">The Detailed Bill of Materials (BOM) for nhmqqfrejd (`xfeshngx`) is provided below. This primary data is crucial for high-accuracy material impact calculation.</w:t>
      </w:r>
      <w:r>
        <w:t xml:space="preserve"> </w:t>
      </w:r>
      <w:r>
        <w:t xml:space="preserve">Where specific emission factors for other lifecycle stages were not provided, industry-standard secondary data sources like Ecoinvent and DEFRA were referenced for illustrative purposes, and assumptions are clearly stated.</w:t>
      </w:r>
    </w:p>
    <w:p>
      <w:pPr>
        <w:pStyle w:val="BodyText"/>
      </w:pPr>
      <w:r>
        <w:rPr>
          <w:bCs/>
          <w:b/>
        </w:rPr>
        <w:t xml:space="preserve">Provided Bill of Materials (xfeshngx - Illustrative Example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bookmarkEnd w:id="24"/>
    <w:bookmarkStart w:id="25" w:name="other-key-data-inputs"/>
    <w:p>
      <w:pPr>
        <w:pStyle w:val="Heading4"/>
      </w:pPr>
      <w:r>
        <w:t xml:space="preserve">Other Key Data Inputs:</w:t>
      </w:r>
    </w:p>
    <w:p>
      <w:pPr>
        <w:numPr>
          <w:ilvl w:val="0"/>
          <w:numId w:val="1003"/>
        </w:numPr>
        <w:pStyle w:val="Compact"/>
      </w:pPr>
      <w:r>
        <w:rPr>
          <w:bCs/>
          <w:b/>
        </w:rPr>
        <w:t xml:space="preserve">Transport Mode (Main Freight):</w:t>
      </w:r>
      <w:r>
        <w:t xml:space="preserve"> </w:t>
      </w:r>
      <w:r>
        <w:t xml:space="preserve">Select Mode</w:t>
      </w:r>
    </w:p>
    <w:p>
      <w:pPr>
        <w:numPr>
          <w:ilvl w:val="0"/>
          <w:numId w:val="1003"/>
        </w:numPr>
        <w:pStyle w:val="Compact"/>
      </w:pPr>
      <w:r>
        <w:rPr>
          <w:bCs/>
          <w:b/>
        </w:rPr>
        <w:t xml:space="preserve">Transport Distance (Main Freight):</w:t>
      </w:r>
      <w:r>
        <w:t xml:space="preserve"> </w:t>
      </w:r>
      <w:r>
        <w:t xml:space="preserve">mssrhynhlz km</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rPr>
          <w:bCs/>
          <w:b/>
        </w:rPr>
        <w:t xml:space="preserve">Renewable Energy Usage (Production):</w:t>
      </w:r>
      <w:r>
        <w:t xml:space="preserve"> </w:t>
      </w:r>
      <w:r>
        <w:t xml:space="preserve">yvviuzoltm %</w:t>
      </w:r>
    </w:p>
    <w:p>
      <w:pPr>
        <w:numPr>
          <w:ilvl w:val="0"/>
          <w:numId w:val="1003"/>
        </w:numPr>
        <w:pStyle w:val="Compact"/>
      </w:pPr>
      <w:r>
        <w:rPr>
          <w:bCs/>
          <w:b/>
        </w:rPr>
        <w:t xml:space="preserve">Energy Intensity (Production):</w:t>
      </w:r>
      <w:r>
        <w:t xml:space="preserve"> </w:t>
      </w:r>
      <w:r>
        <w:t xml:space="preserve">zklwymsfny kWh/unit</w:t>
      </w:r>
    </w:p>
    <w:p>
      <w:pPr>
        <w:numPr>
          <w:ilvl w:val="0"/>
          <w:numId w:val="1003"/>
        </w:numPr>
        <w:pStyle w:val="Compact"/>
      </w:pPr>
      <w:r>
        <w:rPr>
          <w:bCs/>
          <w:b/>
        </w:rPr>
        <w:t xml:space="preserve">Product Lifespan:</w:t>
      </w:r>
      <w:r>
        <w:t xml:space="preserve"> </w:t>
      </w:r>
      <w:r>
        <w:t xml:space="preserve">uypndnlghw (assuming years)</w:t>
      </w:r>
    </w:p>
    <w:p>
      <w:pPr>
        <w:numPr>
          <w:ilvl w:val="0"/>
          <w:numId w:val="1003"/>
        </w:numPr>
        <w:pStyle w:val="Compact"/>
      </w:pPr>
      <w:r>
        <w:rPr>
          <w:bCs/>
          <w:b/>
        </w:rPr>
        <w:t xml:space="preserve">Energy Consumption in Use:</w:t>
      </w:r>
      <w:r>
        <w:t xml:space="preserve"> </w:t>
      </w:r>
      <w:r>
        <w:t xml:space="preserve">kdgqoiduvu (assuming kWh/year)</w:t>
      </w:r>
    </w:p>
    <w:p>
      <w:pPr>
        <w:numPr>
          <w:ilvl w:val="0"/>
          <w:numId w:val="1003"/>
        </w:numPr>
        <w:pStyle w:val="Compact"/>
      </w:pPr>
      <w:r>
        <w:rPr>
          <w:bCs/>
          <w:b/>
        </w:rPr>
        <w:t xml:space="preserve">Recyclability Percentage (EoL):</w:t>
      </w:r>
      <w:r>
        <w:t xml:space="preserve"> </w:t>
      </w:r>
      <w:r>
        <w:t xml:space="preserve">dfeznfzirl %</w:t>
      </w:r>
    </w:p>
    <w:p>
      <w:pPr>
        <w:numPr>
          <w:ilvl w:val="0"/>
          <w:numId w:val="1003"/>
        </w:numPr>
        <w:pStyle w:val="Compact"/>
      </w:pPr>
      <w:r>
        <w:rPr>
          <w:bCs/>
          <w:b/>
        </w:rPr>
        <w:t xml:space="preserve">Circular/Take-back Programs:</w:t>
      </w:r>
      <w:r>
        <w:t xml:space="preserve"> </w:t>
      </w:r>
      <w:r>
        <w:t xml:space="preserve">keyqkrwujr (Yes/No, details follow)</w:t>
      </w:r>
    </w:p>
    <w:bookmarkEnd w:id="25"/>
    <w:bookmarkEnd w:id="26"/>
    <w:bookmarkStart w:id="28" w:name="Xb404f6bea4a0013006ec7a9103609d9ea6643c1"/>
    <w:p>
      <w:pPr>
        <w:pStyle w:val="Heading3"/>
      </w:pPr>
      <w:r>
        <w:t xml:space="preserve">4. Calculate Emissions (Activity * Emission Factor = CO2e)</w:t>
      </w:r>
    </w:p>
    <w:p>
      <w:pPr>
        <w:pStyle w:val="FirstParagraph"/>
      </w:pPr>
      <w:r>
        <w:t xml:space="preserve">Emissions are calculated for each life cycle stage by multiplying activity data by relevant emission factors.</w:t>
      </w:r>
      <w:r>
        <w:t xml:space="preserve"> </w:t>
      </w:r>
      <w:r>
        <w:t xml:space="preserve">Industry-standard emission factors from databases such as Ecoinvent and DEFRA are utilized where primary data is not available.</w:t>
      </w:r>
      <w:r>
        <w:t xml:space="preserve"> </w:t>
      </w:r>
      <w:r>
        <w:t xml:space="preserve">All emissions are expressed in kilograms of carbon dioxide equivalent (kgCO2e).</w:t>
      </w:r>
    </w:p>
    <w:bookmarkStart w:id="27" w:name="assumed-emission-factors-for-calculation"/>
    <w:p>
      <w:pPr>
        <w:pStyle w:val="Heading4"/>
      </w:pPr>
      <w:r>
        <w:t xml:space="preserve">Assumed Emission Factors for Calculation:</w:t>
      </w:r>
    </w:p>
    <w:p>
      <w:pPr>
        <w:numPr>
          <w:ilvl w:val="0"/>
          <w:numId w:val="1004"/>
        </w:numPr>
        <w:pStyle w:val="Compact"/>
      </w:pPr>
      <w:r>
        <w:rPr>
          <w:bCs/>
          <w:b/>
        </w:rPr>
        <w:t xml:space="preserve">China Grid Electricity Emission Factor:</w:t>
      </w:r>
      <w:r>
        <w:t xml:space="preserve"> </w:t>
      </w:r>
      <w:r>
        <w:t xml:space="preserve">0.6205 kgCO2e/kWh (2023 national average)</w:t>
      </w:r>
    </w:p>
    <w:p>
      <w:pPr>
        <w:numPr>
          <w:ilvl w:val="0"/>
          <w:numId w:val="1004"/>
        </w:numPr>
        <w:pStyle w:val="Compact"/>
      </w:pPr>
      <w:r>
        <w:rPr>
          <w:bCs/>
          <w:b/>
        </w:rPr>
        <w:t xml:space="preserve">Road Freight Emission Factor:</w:t>
      </w:r>
      <w:r>
        <w:t xml:space="preserve"> </w:t>
      </w:r>
      <w:r>
        <w:t xml:space="preserve">0.1 kgCO2e/tonne-km (illustrative for European supply chain)</w:t>
      </w:r>
    </w:p>
    <w:p>
      <w:pPr>
        <w:numPr>
          <w:ilvl w:val="0"/>
          <w:numId w:val="1004"/>
        </w:numPr>
        <w:pStyle w:val="Compact"/>
      </w:pPr>
      <w:r>
        <w:rPr>
          <w:bCs/>
          <w:b/>
        </w:rPr>
        <w:t xml:space="preserve">Last-Mile Delivery Emission Factor:</w:t>
      </w:r>
      <w:r>
        <w:t xml:space="preserve"> </w:t>
      </w:r>
      <w:r>
        <w:t xml:space="preserve">0.15 kgCO2e/delivery (illustrative average)</w:t>
      </w:r>
    </w:p>
    <w:p>
      <w:pPr>
        <w:numPr>
          <w:ilvl w:val="0"/>
          <w:numId w:val="1004"/>
        </w:numPr>
        <w:pStyle w:val="Compact"/>
      </w:pPr>
      <w:r>
        <w:rPr>
          <w:bCs/>
          <w:b/>
        </w:rPr>
        <w:t xml:space="preserve">Global Average Electricity Emission Factor (Use Phase):</w:t>
      </w:r>
      <w:r>
        <w:t xml:space="preserve"> </w:t>
      </w:r>
      <w:r>
        <w:t xml:space="preserve">0.4 kgCO2e/kWh (IEA 2027 forecast for global CO2 intensity)</w:t>
      </w:r>
    </w:p>
    <w:p>
      <w:pPr>
        <w:numPr>
          <w:ilvl w:val="0"/>
          <w:numId w:val="1004"/>
        </w:numPr>
        <w:pStyle w:val="Compact"/>
      </w:pPr>
      <w:r>
        <w:rPr>
          <w:bCs/>
          <w:b/>
        </w:rPr>
        <w:t xml:space="preserve">Landfill Emission Factor:</w:t>
      </w:r>
      <w:r>
        <w:t xml:space="preserve"> </w:t>
      </w:r>
      <w:r>
        <w:t xml:space="preserve">0.5 kgCO2e/kg (illustrative)</w:t>
      </w:r>
    </w:p>
    <w:p>
      <w:pPr>
        <w:numPr>
          <w:ilvl w:val="0"/>
          <w:numId w:val="1004"/>
        </w:numPr>
        <w:pStyle w:val="Compact"/>
      </w:pPr>
      <w:r>
        <w:rPr>
          <w:bCs/>
          <w:b/>
        </w:rPr>
        <w:t xml:space="preserve">Recycling Credit:</w:t>
      </w:r>
      <w:r>
        <w:t xml:space="preserve"> </w:t>
      </w:r>
      <w:r>
        <w:t xml:space="preserve">-0.5 kgCO2e/kg (illustrative for avoided virgin material production)</w:t>
      </w:r>
    </w:p>
    <w:p>
      <w:pPr>
        <w:numPr>
          <w:ilvl w:val="0"/>
          <w:numId w:val="1004"/>
        </w:numPr>
        <w:pStyle w:val="Compact"/>
      </w:pPr>
      <w:r>
        <w:rPr>
          <w:bCs/>
          <w:b/>
        </w:rPr>
        <w:t xml:space="preserve">Product Weight (for transport calculation):</w:t>
      </w:r>
      <w:r>
        <w:t xml:space="preserve"> </w:t>
      </w:r>
      <w:r>
        <w:t xml:space="preserve">Assuming a total product weight of 1.5 kg for nhmqqfrejd to enable transport calculations, as specific total weight was not provided beyond BOM material quantities.</w:t>
      </w:r>
    </w:p>
    <w:bookmarkEnd w:id="27"/>
    <w:bookmarkEnd w:id="28"/>
    <w:bookmarkStart w:id="29" w:name="review-report"/>
    <w:p>
      <w:pPr>
        <w:pStyle w:val="Heading3"/>
      </w:pPr>
      <w:r>
        <w:t xml:space="preserve">5. Review &amp; Report</w:t>
      </w:r>
    </w:p>
    <w:p>
      <w:pPr>
        <w:pStyle w:val="FirstParagraph"/>
      </w:pPr>
      <w:r>
        <w:t xml:space="preserve">The calculated PCF is reviewed to identify emission hotspots and assess data reliability. The final report outlines the findings,</w:t>
      </w:r>
      <w:r>
        <w:t xml:space="preserve"> </w:t>
      </w:r>
      <w:r>
        <w:t xml:space="preserve">including a breakdown of emissions by life cycle stage and recommendations for reduction.</w:t>
      </w:r>
    </w:p>
    <w:bookmarkEnd w:id="29"/>
    <w:bookmarkEnd w:id="30"/>
    <w:p>
      <w:r>
        <w:pict>
          <v:rect style="width:0;height:1.5pt" o:hralign="center" o:hrstd="t" o:hr="t"/>
        </w:pict>
      </w:r>
    </w:p>
    <w:bookmarkStart w:id="36" w:name="detailed-pcf-analysis-and-calculations"/>
    <w:p>
      <w:pPr>
        <w:pStyle w:val="Heading2"/>
      </w:pPr>
      <w:r>
        <w:t xml:space="preserve">Detailed PCF Analysis and Calculations</w:t>
      </w:r>
    </w:p>
    <w:bookmarkStart w:id="31" w:name="Xccf3e6bd2f25a7426acc7ca94192216cdcae6e8"/>
    <w:p>
      <w:pPr>
        <w:pStyle w:val="Heading3"/>
      </w:pPr>
      <w:r>
        <w:t xml:space="preserve">A. Materials Acquisition &amp; Pre-processing (Scope 3 - Upstream)</w:t>
      </w:r>
    </w:p>
    <w:p>
      <w:pPr>
        <w:pStyle w:val="FirstParagraph"/>
      </w:pPr>
      <w:r>
        <w:t xml:space="preserve">This category includes all emissions from the extraction, production, and initial processing of raw materials.</w:t>
      </w:r>
      <w:r>
        <w:t xml:space="preserve"> </w:t>
      </w:r>
      <w:r>
        <w:t xml:space="preserve">Based on the provided Detailed Bill of Materials (xfeshngx), the total carbon impact from materials is the sum of the \'Total Carbon\' column.</w:t>
      </w:r>
    </w:p>
    <w:p>
      <w:pPr>
        <w:pStyle w:val="BodyText"/>
      </w:pPr>
      <w:r>
        <w:t xml:space="preserve">1, \'Description\' =&gt; \'Aluminum Casing\', \'Category\' =&gt; \'Metal\', \'Process\' =&gt; \'Forming\', \'Qty\' =&gt; 0.5, \'Unit\' =&gt; \'kg\', \'Emission Factor (kgCO2e/unit)\' =&gt; 8.0, \'Total Carbon (kgCO2e)\' =&gt; 4.0],</w:t>
      </w:r>
      <w:r>
        <w:t xml:space="preserve"> </w:t>
      </w:r>
      <w:r>
        <w:t xml:space="preserve">[\'ID\' =&gt; 2, \'Description\' =&gt; \'Plastic Housing\', \'Category\' =&gt; \'Polymer\', \'Process\' =&gt; \'Injection Molding\', \'Qty\' =&gt; 0.3, \'Unit\' =&gt; \'kg\', \'Emission Factor (kgCO2e/unit)\' =&gt; 3.5, \'Total Carbon (kgCO2e)\' =&gt; 1.05],</w:t>
      </w:r>
      <w:r>
        <w:t xml:space="preserve"> </w:t>
      </w:r>
      <w:r>
        <w:t xml:space="preserve">[\'ID\' =&gt; 3, \'Description\' =&gt; \'PCB\', \'Category\' =&gt; \'Electronics\', \'Process\' =&gt; \'Assembly\', \'Qty\' =&gt; 1.0, \'Unit\' =&gt; \'piece\', \'Emission Factor (kgCO2e/unit)\' =&gt; 2.0, \'Total Carbon (kgCO2e)\' =&gt; 2.0],</w:t>
      </w:r>
      <w:r>
        <w:t xml:space="preserve"> </w:t>
      </w:r>
      <w:r>
        <w:t xml:space="preserve">[\'ID\' =&gt; 4, \'Description\' =&gt; \'Copper Wire\', \'Category\' =&gt; \'Metal\', \'Process\' =&gt; \'Extrusion\', \'Qty\' =&gt; 0.1, \'Unit\' =&gt; \'kg\', \'Emission Factor (kgCO2e/unit)\' =&gt; 6.0, \'Total Carbon (kgCO2e)\' =&gt; 0.6],</w:t>
      </w:r>
      <w:r>
        <w:t xml:space="preserve"> </w:t>
      </w:r>
      <w:r>
        <w:t xml:space="preserve">[\'ID\' =&gt; 5, \'Description\' =&gt; \'Packaging Cardboard\', \'Category\' =&gt; \'Paper\', \'Process\' =&gt; \'Converting\', \'Qty\' =&gt; 0.2, \'Unit\' =&gt; \'kg\', \'Emission Factor (kgCO2e/unit)\' =&gt; 0.5, \'Total Carbon (kgCO2e)\' =&gt; 0.1]</w:t>
      </w:r>
      <w:r>
        <w:t xml:space="preserve"> </w:t>
      </w:r>
      <w:r>
        <w:t xml:space="preserve">];</w:t>
      </w:r>
      <w:r>
        <w:t xml:space="preserve"> </w:t>
      </w:r>
      <w:r>
        <w:t xml:space="preserve">$total_material_carbon = 0;</w:t>
      </w:r>
      <w:r>
        <w:t xml:space="preserve"> </w:t>
      </w:r>
      <w:r>
        <w:t xml:space="preserve">foreach ($bom_data as $item) {</w:t>
      </w:r>
      <w:r>
        <w:t xml:space="preserve"> </w:t>
      </w:r>
      <w:r>
        <w:t xml:space="preserve">$total_material_carbon += $item[\'Total Carbon (kgCO2e)\'];</w:t>
      </w:r>
      <w:r>
        <w:t xml:space="preserve"> </w:t>
      </w:r>
      <w:r>
        <w:t xml:space="preserve">}</w:t>
      </w:r>
      <w:r>
        <w:t xml:space="preserve"> </w:t>
      </w:r>
      <w:r>
        <w:t xml:space="preserve">?&gt;</w:t>
      </w:r>
    </w:p>
    <w:p>
      <w:pPr>
        <w:pStyle w:val="BodyText"/>
      </w:pPr>
      <w:r>
        <w:t xml:space="preserve">Total material carbon footprint (Scope 3 - Upstream):</w:t>
      </w:r>
      <w:r>
        <w:t xml:space="preserve"> </w:t>
      </w:r>
      <w:r>
        <w:rPr>
          <w:bCs/>
          <w:b/>
        </w:rPr>
        <w:t xml:space="preserve">kgCO2e</w:t>
      </w:r>
    </w:p>
    <w:bookmarkEnd w:id="31"/>
    <w:bookmarkStart w:id="32" w:name="X584f9be4176a4c418ad77a6390d08af9b903b6d"/>
    <w:p>
      <w:pPr>
        <w:pStyle w:val="Heading3"/>
      </w:pPr>
      <w:r>
        <w:t xml:space="preserve">B. Production Phase (Scope 1, Scope 2, Scope 3 - Upstream)</w:t>
      </w:r>
    </w:p>
    <w:p>
      <w:pPr>
        <w:pStyle w:val="FirstParagraph"/>
      </w:pPr>
      <w:r>
        <w:t xml:space="preserve">Emissions from the manufacturing process in China, considering the provided energy intensity and renewable energy usage.</w:t>
      </w:r>
    </w:p>
    <w:p>
      <w:pPr>
        <w:numPr>
          <w:ilvl w:val="0"/>
          <w:numId w:val="1005"/>
        </w:numPr>
        <w:pStyle w:val="Compact"/>
      </w:pPr>
      <w:r>
        <w:t xml:space="preserve">Energy Intensity (kWh/unit): zklwymsfny kWh/unit</w:t>
      </w:r>
    </w:p>
    <w:p>
      <w:pPr>
        <w:numPr>
          <w:ilvl w:val="0"/>
          <w:numId w:val="1005"/>
        </w:numPr>
        <w:pStyle w:val="Compact"/>
      </w:pPr>
      <w:r>
        <w:t xml:space="preserve">Renewable Energy Usage: yvviuzoltm %</w:t>
      </w:r>
    </w:p>
    <w:p>
      <w:pPr>
        <w:numPr>
          <w:ilvl w:val="0"/>
          <w:numId w:val="1005"/>
        </w:numPr>
        <w:pStyle w:val="Compact"/>
      </w:pPr>
      <w:r>
        <w:t xml:space="preserve">Non-Renewable Energy Percentage:</w:t>
      </w:r>
    </w:p>
    <w:p>
      <w:pPr>
        <w:numPr>
          <w:ilvl w:val="0"/>
          <w:numId w:val="1000"/>
        </w:numPr>
        <w:pStyle w:val="Compact"/>
      </w:pPr>
      <w:r>
        <w:t xml:space="preserve">%</w:t>
      </w:r>
    </w:p>
    <w:p>
      <w:pPr>
        <w:numPr>
          <w:ilvl w:val="0"/>
          <w:numId w:val="1005"/>
        </w:numPr>
        <w:pStyle w:val="Compact"/>
      </w:pPr>
      <w:r>
        <w:t xml:space="preserve">China Grid Electricity Emission Factor: 0.6205 kgCO2e/kWh</w:t>
      </w:r>
    </w:p>
    <w:p>
      <w:pPr>
        <w:pStyle w:val="FirstParagraph"/>
      </w:pPr>
      <w:r>
        <w:t xml:space="preserve">Emissions from purchased electricity (Scope 2): kgCO2e</w:t>
      </w:r>
    </w:p>
    <w:p>
      <w:pPr>
        <w:pStyle w:val="BodyText"/>
      </w:pPr>
      <w:r>
        <w:rPr>
          <w:iCs/>
          <w:i/>
        </w:rPr>
        <w:t xml:space="preserve">Note: Direct fuel combustion (Scope 1) at the factory is assumed to be negligible or covered by broader Scope 2 energy data for this report,</w:t>
      </w:r>
      <w:r>
        <w:rPr>
          <w:iCs/>
          <w:i/>
        </w:rPr>
        <w:t xml:space="preserve"> </w:t>
      </w:r>
      <w:r>
        <w:rPr>
          <w:iCs/>
          <w:i/>
        </w:rPr>
        <w:t xml:space="preserve">as specific fuel consumption data was not provided. If applicable, this would be a separate Scope 1 calculation.</w:t>
      </w:r>
    </w:p>
    <w:bookmarkEnd w:id="32"/>
    <w:bookmarkStart w:id="33" w:name="X5b56f24caa3784ce8fc920d81a1da219008a919"/>
    <w:p>
      <w:pPr>
        <w:pStyle w:val="Heading3"/>
      </w:pPr>
      <w:r>
        <w:t xml:space="preserve">C. Transportation &amp; Distribution (Scope 3 - Upstream &amp; Downstream)</w:t>
      </w:r>
    </w:p>
    <w:p>
      <w:pPr>
        <w:pStyle w:val="FirstParagraph"/>
      </w:pPr>
      <w:r>
        <w:t xml:space="preserve">This section covers emissions from transporting materials to the factory (upstream) and the finished product to the customer (downstream).</w:t>
      </w:r>
      <w:r>
        <w:t xml:space="preserve"> </w:t>
      </w:r>
      <w:r>
        <w:t xml:space="preserve">The supply chain focus is Europe, with final production in China.</w:t>
      </w:r>
    </w:p>
    <w:p>
      <w:pPr>
        <w:numPr>
          <w:ilvl w:val="0"/>
          <w:numId w:val="1006"/>
        </w:numPr>
        <w:pStyle w:val="Compact"/>
      </w:pPr>
      <w:r>
        <w:t xml:space="preserve">Product Weight: 1.5 kg (assumed for transport calculation)</w:t>
      </w:r>
    </w:p>
    <w:p>
      <w:pPr>
        <w:numPr>
          <w:ilvl w:val="0"/>
          <w:numId w:val="1006"/>
        </w:numPr>
        <w:pStyle w:val="Compact"/>
      </w:pPr>
      <w:r>
        <w:t xml:space="preserve">Transport Mode: Select Mode (assumed Road Freight)</w:t>
      </w:r>
    </w:p>
    <w:p>
      <w:pPr>
        <w:numPr>
          <w:ilvl w:val="0"/>
          <w:numId w:val="1006"/>
        </w:numPr>
        <w:pStyle w:val="Compact"/>
      </w:pPr>
      <w:r>
        <w:t xml:space="preserve">Transport Distance: mssrhynhlz km</w:t>
      </w:r>
    </w:p>
    <w:p>
      <w:pPr>
        <w:numPr>
          <w:ilvl w:val="0"/>
          <w:numId w:val="1006"/>
        </w:numPr>
        <w:pStyle w:val="Compact"/>
      </w:pPr>
      <w:r>
        <w:t xml:space="preserve">Road Freight Emission Factor: 0.1 kgCO2e/tonne-km</w:t>
      </w:r>
    </w:p>
    <w:p>
      <w:pPr>
        <w:numPr>
          <w:ilvl w:val="0"/>
          <w:numId w:val="1006"/>
        </w:numPr>
        <w:pStyle w:val="Compact"/>
      </w:pPr>
      <w:r>
        <w:t xml:space="preserve">Last-Mile Delivery Channel: Delivery Type</w:t>
      </w:r>
    </w:p>
    <w:p>
      <w:pPr>
        <w:numPr>
          <w:ilvl w:val="0"/>
          <w:numId w:val="1006"/>
        </w:numPr>
        <w:pStyle w:val="Compact"/>
      </w:pPr>
      <w:r>
        <w:t xml:space="preserve">Last-Mile Delivery Emission Factor: 0.15 kgCO2e/delivery</w:t>
      </w:r>
    </w:p>
    <w:p>
      <w:pPr>
        <w:pStyle w:val="FirstParagraph"/>
      </w:pPr>
      <w:r>
        <w:t xml:space="preserve">Main transportation emissions (e.g., factory to distribution center): kgCO2e</w:t>
      </w:r>
    </w:p>
    <w:p>
      <w:pPr>
        <w:pStyle w:val="BodyText"/>
      </w:pPr>
      <w:r>
        <w:t xml:space="preserve">Last-mile delivery emissions (per unit): kgCO2e</w:t>
      </w:r>
    </w:p>
    <w:p>
      <w:pPr>
        <w:pStyle w:val="BodyText"/>
      </w:pPr>
      <w:r>
        <w:t xml:space="preserve">Total transportation and distribution emissions (Scope 3 - Upstream &amp; Downstream):</w:t>
      </w:r>
      <w:r>
        <w:t xml:space="preserve"> </w:t>
      </w:r>
      <w:r>
        <w:rPr>
          <w:bCs/>
          <w:b/>
        </w:rPr>
        <w:t xml:space="preserve">kgCO2e</w:t>
      </w:r>
    </w:p>
    <w:bookmarkEnd w:id="33"/>
    <w:bookmarkStart w:id="34" w:name="d.-use-phase-scope-3---downstream"/>
    <w:p>
      <w:pPr>
        <w:pStyle w:val="Heading3"/>
      </w:pPr>
      <w:r>
        <w:t xml:space="preserve">D. Use Phase (Scope 3 - Downstream)</w:t>
      </w:r>
    </w:p>
    <w:p>
      <w:pPr>
        <w:pStyle w:val="FirstParagraph"/>
      </w:pPr>
      <w:r>
        <w:t xml:space="preserve">Emissions resulting from the product\'s energy consumption during its lifespan.</w:t>
      </w:r>
    </w:p>
    <w:p>
      <w:pPr>
        <w:numPr>
          <w:ilvl w:val="0"/>
          <w:numId w:val="1007"/>
        </w:numPr>
        <w:pStyle w:val="Compact"/>
      </w:pPr>
      <w:r>
        <w:t xml:space="preserve">Product Lifespan: uypndnlghw (assuming years, e.g., 5 years)</w:t>
      </w:r>
    </w:p>
    <w:p>
      <w:pPr>
        <w:numPr>
          <w:ilvl w:val="0"/>
          <w:numId w:val="1007"/>
        </w:numPr>
        <w:pStyle w:val="Compact"/>
      </w:pPr>
      <w:r>
        <w:t xml:space="preserve">Energy Consumption in Use: kdgqoiduvu (assuming kWh/year, e.g., 10 kWh/year)</w:t>
      </w:r>
    </w:p>
    <w:p>
      <w:pPr>
        <w:numPr>
          <w:ilvl w:val="0"/>
          <w:numId w:val="1007"/>
        </w:numPr>
        <w:pStyle w:val="Compact"/>
      </w:pPr>
      <w:r>
        <w:t xml:space="preserve">Global Average Electricity Emission Factor: 0.4 kgCO2e/kWh</w:t>
      </w:r>
    </w:p>
    <w:p>
      <w:pPr>
        <w:pStyle w:val="FirstParagraph"/>
      </w:pPr>
      <w:r>
        <w:t xml:space="preserve">Total energy consumption during lifespan: kWh</w:t>
      </w:r>
    </w:p>
    <w:p>
      <w:pPr>
        <w:pStyle w:val="BodyText"/>
      </w:pPr>
      <w:r>
        <w:t xml:space="preserve">Use phase emissions (Scope 3 - Downstream):</w:t>
      </w:r>
      <w:r>
        <w:t xml:space="preserve"> </w:t>
      </w:r>
      <w:r>
        <w:rPr>
          <w:bCs/>
          <w:b/>
        </w:rPr>
        <w:t xml:space="preserve">kgCO2e</w:t>
      </w:r>
    </w:p>
    <w:bookmarkEnd w:id="34"/>
    <w:bookmarkStart w:id="35" w:name="X69a14fea1ff725dbd9a7b3dfac8b50c6c4f2189"/>
    <w:p>
      <w:pPr>
        <w:pStyle w:val="Heading3"/>
      </w:pPr>
      <w:r>
        <w:t xml:space="preserve">E. End-of-Life (EoL) Scenarios (Scope 3 - Downstream)</w:t>
      </w:r>
    </w:p>
    <w:p>
      <w:pPr>
        <w:pStyle w:val="FirstParagraph"/>
      </w:pPr>
      <w:r>
        <w:t xml:space="preserve">Emissions and potential credits associated with the product\'s disposal or recycling at the end of its life.</w:t>
      </w:r>
    </w:p>
    <w:p>
      <w:pPr>
        <w:numPr>
          <w:ilvl w:val="0"/>
          <w:numId w:val="1008"/>
        </w:numPr>
        <w:pStyle w:val="Compact"/>
      </w:pPr>
      <w:r>
        <w:t xml:space="preserve">Recyclability Percentage: dfeznfzirl %</w:t>
      </w:r>
    </w:p>
    <w:p>
      <w:pPr>
        <w:numPr>
          <w:ilvl w:val="0"/>
          <w:numId w:val="1008"/>
        </w:numPr>
        <w:pStyle w:val="Compact"/>
      </w:pPr>
      <w:r>
        <w:t xml:space="preserve">Circular/Take-back Programs: keyqkrwujr</w:t>
      </w:r>
    </w:p>
    <w:p>
      <w:pPr>
        <w:numPr>
          <w:ilvl w:val="0"/>
          <w:numId w:val="1008"/>
        </w:numPr>
        <w:pStyle w:val="Compact"/>
      </w:pPr>
      <w:r>
        <w:t xml:space="preserve">Product Weight (for EoL calculation): 1.5 kg (assumed)</w:t>
      </w:r>
    </w:p>
    <w:p>
      <w:pPr>
        <w:numPr>
          <w:ilvl w:val="0"/>
          <w:numId w:val="1008"/>
        </w:numPr>
        <w:pStyle w:val="Compact"/>
      </w:pPr>
      <w:r>
        <w:t xml:space="preserve">Landfill Emission Factor: 0.5 kgCO2e/kg</w:t>
      </w:r>
    </w:p>
    <w:p>
      <w:pPr>
        <w:numPr>
          <w:ilvl w:val="0"/>
          <w:numId w:val="1008"/>
        </w:numPr>
        <w:pStyle w:val="Compact"/>
      </w:pPr>
      <w:r>
        <w:t xml:space="preserve">Recycling Credit: -0.5 kgCO2e/kg (for avoided virgin material production)</w:t>
      </w:r>
    </w:p>
    <w:p>
      <w:pPr>
        <w:pStyle w:val="FirstParagraph"/>
      </w:pPr>
      <w:r>
        <w:t xml:space="preserve">Emissions from landfilling (%): kgCO2e</w:t>
      </w:r>
    </w:p>
    <w:p>
      <w:pPr>
        <w:pStyle w:val="BodyText"/>
      </w:pPr>
      <w:r>
        <w:t xml:space="preserve">Credits from recycling (%): kgCO2e</w:t>
      </w:r>
    </w:p>
    <w:p>
      <w:pPr>
        <w:pStyle w:val="BodyText"/>
      </w:pPr>
      <w:r>
        <w:t xml:space="preserve">Impact of Circular/Take-back Programs: .</w:t>
      </w:r>
      <w:r>
        <w:t xml:space="preserve"> </w:t>
      </w:r>
      <w:r>
        <w:rPr>
          <w:iCs/>
          <w:i/>
        </w:rPr>
        <w:t xml:space="preserve">(If \'Yes\', this would further reduce EoL impacts, but specific quantification requires more program details).</w:t>
      </w:r>
    </w:p>
    <w:p>
      <w:pPr>
        <w:pStyle w:val="BodyText"/>
      </w:pPr>
      <w:r>
        <w:t xml:space="preserve">Total End-of-Life emissions/credits (Scope 3 - Downstream):</w:t>
      </w:r>
      <w:r>
        <w:t xml:space="preserve"> </w:t>
      </w:r>
      <w:r>
        <w:rPr>
          <w:bCs/>
          <w:b/>
        </w:rPr>
        <w:t xml:space="preserve">kgCO2e</w:t>
      </w:r>
    </w:p>
    <w:bookmarkEnd w:id="35"/>
    <w:bookmarkEnd w:id="36"/>
    <w:p>
      <w:r>
        <w:pict>
          <v:rect style="width:0;height:1.5pt" o:hralign="center" o:hrstd="t" o:hr="t"/>
        </w:pict>
      </w:r>
    </w:p>
    <w:bookmarkStart w:id="38" w:name="Xe6d358d79b3142b2b7554d650c7842591536bf5"/>
    <w:p>
      <w:pPr>
        <w:pStyle w:val="Heading2"/>
      </w:pPr>
      <w:r>
        <w:t xml:space="preserve">Overall Product Carbon Footprint (PCF) Summary for nhmqqfrejd</w:t>
      </w:r>
    </w:p>
    <w:p>
      <w:pPr>
        <w:pStyle w:val="FirstParagraph"/>
      </w:pPr>
      <w:r>
        <w:t xml:space="preserve">The total Product Carbon Footprint for one functional unit of nhmqqfrejd, following the cradle-to-grave approach,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Production Phase (Electricity)</w:t>
            </w:r>
          </w:p>
        </w:tc>
        <w:tc>
          <w:tcPr/>
          <w:p>
            <w:pPr>
              <w:pStyle w:val="Compact"/>
              <w:jc w:val="left"/>
            </w:pPr>
            <w:r>
              <w:t xml:space="preserve">Scope 2</w:t>
            </w:r>
          </w:p>
        </w:tc>
        <w:tc>
          <w:tcPr/>
          <w:p>
            <w:pPr>
              <w:pStyle w:val="Compact"/>
            </w:pP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gridSpan w:val="2"/>
          </w:tcPr>
          <w:p>
            <w:pPr>
              <w:pStyle w:val="Compact"/>
              <w:jc w:val="left"/>
            </w:pPr>
            <w:r>
              <w:t xml:space="preserve">Total Product Carbon Footprint (PCF) for 1.0 unit of nhmqqfrejd</w:t>
            </w:r>
          </w:p>
        </w:tc>
        <w:tc>
          <w:tcPr/>
          <w:p>
            <w:pPr>
              <w:pStyle w:val="Compact"/>
            </w:pPr>
          </w:p>
        </w:tc>
      </w:tr>
    </w:tbl>
    <w:p>
      <w:pPr>
        <w:pStyle w:val="BodyText"/>
      </w:pPr>
      <w:r>
        <w:t xml:space="preserve">The total Product Carbon Footprint for one unit of nhmqqfrejd is approximately</w:t>
      </w:r>
      <w:r>
        <w:t xml:space="preserve"> </w:t>
      </w:r>
      <w:r>
        <w:rPr>
          <w:bCs/>
          <w:b/>
        </w:rPr>
        <w:t xml:space="preserve">kgCO2e</w:t>
      </w:r>
      <w:r>
        <w:t xml:space="preserve">.</w:t>
      </w:r>
    </w:p>
    <w:bookmarkStart w:id="37" w:name="Xa93906bb67ec9154f1ee89ba7d04a4755f4e5b7"/>
    <w:p>
      <w:pPr>
        <w:pStyle w:val="Heading3"/>
      </w:pPr>
      <w:r>
        <w:t xml:space="preserve">GHG Protocol Compliance and 2026 LSR Update</w:t>
      </w:r>
    </w:p>
    <w:p>
      <w:pPr>
        <w:numPr>
          <w:ilvl w:val="0"/>
          <w:numId w:val="1009"/>
        </w:numPr>
        <w:pStyle w:val="Compact"/>
      </w:pPr>
      <w:r>
        <w:rPr>
          <w:bCs/>
          <w:b/>
        </w:rPr>
        <w:t xml:space="preserve">Scope 1 Emissions:</w:t>
      </w:r>
      <w:r>
        <w:t xml:space="preserve"> </w:t>
      </w:r>
      <w:r>
        <w:t xml:space="preserve">Direct emissions from owned or controlled sources. In this report, specific Scope 1 emissions for manufacturing were not provided but would typically include on-site fuel combustion. For this analysis, Scope 1 is assumed to be negligible compared to Scope 2 and 3 if not explicitly measured or reported.</w:t>
      </w:r>
    </w:p>
    <w:p>
      <w:pPr>
        <w:numPr>
          <w:ilvl w:val="0"/>
          <w:numId w:val="1009"/>
        </w:numPr>
        <w:pStyle w:val="Compact"/>
      </w:pPr>
      <w:r>
        <w:rPr>
          <w:bCs/>
          <w:b/>
        </w:rPr>
        <w:t xml:space="preserve">Scope 2 Emissions:</w:t>
      </w:r>
      <w:r>
        <w:t xml:space="preserve"> </w:t>
      </w:r>
      <w:r>
        <w:t xml:space="preserve">Indirect emissions from the generation of purchased energy. This report includes emissions from purchased electricity for the production phase.</w:t>
      </w:r>
    </w:p>
    <w:p>
      <w:pPr>
        <w:numPr>
          <w:ilvl w:val="0"/>
          <w:numId w:val="1009"/>
        </w:numPr>
        <w:pStyle w:val="Compact"/>
      </w:pPr>
      <w:r>
        <w:rPr>
          <w:bCs/>
          <w:b/>
        </w:rPr>
        <w:t xml:space="preserve">Scope 3 Emissions:</w:t>
      </w:r>
      <w:r>
        <w:t xml:space="preserve"> </w:t>
      </w:r>
      <w:r>
        <w:t xml:space="preserve">All other indirect emissions that occur in a company’s value chain. This analysis covers significant Scope 3 categories, including materials (purchased goods and services), transportation (upstream and downstream), use of sold products, and end-of-life treatment of sold products. We aimed for at least 95% coverage for Scope 3 reporting, as per 2026 requirements, by including all major quantifiable categories.</w:t>
      </w:r>
    </w:p>
    <w:p>
      <w:pPr>
        <w:numPr>
          <w:ilvl w:val="0"/>
          <w:numId w:val="1009"/>
        </w:numPr>
        <w:pStyle w:val="Compact"/>
      </w:pPr>
      <w:r>
        <w:rPr>
          <w:bCs/>
          <w:b/>
        </w:rPr>
        <w:t xml:space="preserve">2026 LSR Update:</w:t>
      </w:r>
      <w:r>
        <w:t xml:space="preserve"> </w:t>
      </w:r>
      <w:r>
        <w:t xml:space="preserve">The Land Sector and Removals (LSR) Standard is integrated by considering carbon removals through recycling credits at End-of-Life. For land-use change impacts (e.g., deforestation for raw materials), specific data was not available and would require detailed supply chain mapping and primary data collection to quantify. This report acknowledges their importance in a full LSR-compliant analysis.</w:t>
      </w:r>
    </w:p>
    <w:bookmarkEnd w:id="37"/>
    <w:bookmarkEnd w:id="38"/>
    <w:p>
      <w:r>
        <w:pict>
          <v:rect style="width:0;height:1.5pt" o:hralign="center" o:hrstd="t" o:hr="t"/>
        </w:pict>
      </w:r>
    </w:p>
    <w:bookmarkStart w:id="39" w:name="hotspots-and-reliability"/>
    <w:p>
      <w:pPr>
        <w:pStyle w:val="Heading2"/>
      </w:pPr>
      <w:r>
        <w:t xml:space="preserve">Hotspots and Reliability</w:t>
      </w:r>
    </w:p>
    <w:p>
      <w:pPr>
        <w:pStyle w:val="FirstParagraph"/>
      </w:pPr>
      <w:r>
        <w:t xml:space="preserve">Based on the analysis, significant emission hotspots for nhmqqfrejd are likely to be:</w:t>
      </w:r>
    </w:p>
    <w:p>
      <w:pPr>
        <w:numPr>
          <w:ilvl w:val="0"/>
          <w:numId w:val="1010"/>
        </w:numPr>
        <w:pStyle w:val="Compact"/>
      </w:pPr>
      <w:r>
        <w:rPr>
          <w:bCs/>
          <w:b/>
        </w:rPr>
        <w:t xml:space="preserve">Materials Acquisition &amp; Pre-processing:</w:t>
      </w:r>
      <w:r>
        <w:t xml:space="preserve"> </w:t>
      </w:r>
      <w:r>
        <w:t xml:space="preserve">Often the largest contributor, especially for energy-intensive materials like aluminum.</w:t>
      </w:r>
    </w:p>
    <w:p>
      <w:pPr>
        <w:numPr>
          <w:ilvl w:val="0"/>
          <w:numId w:val="1010"/>
        </w:numPr>
        <w:pStyle w:val="Compact"/>
      </w:pPr>
      <w:r>
        <w:rPr>
          <w:bCs/>
          <w:b/>
        </w:rPr>
        <w:t xml:space="preserve">Use Phase:</w:t>
      </w:r>
      <w:r>
        <w:t xml:space="preserve"> </w:t>
      </w:r>
      <w:r>
        <w:t xml:space="preserve">For products with electrical consumption, the use phase can dominate the PCF over its lifespan, depending on the energy mix of the end-user region.</w:t>
      </w:r>
    </w:p>
    <w:p>
      <w:pPr>
        <w:numPr>
          <w:ilvl w:val="0"/>
          <w:numId w:val="1010"/>
        </w:numPr>
        <w:pStyle w:val="Compact"/>
      </w:pPr>
      <w:r>
        <w:rPr>
          <w:bCs/>
          <w:b/>
        </w:rPr>
        <w:t xml:space="preserve">Production Phase:</w:t>
      </w:r>
      <w:r>
        <w:t xml:space="preserve"> </w:t>
      </w:r>
      <w:r>
        <w:t xml:space="preserve">Heavily dependent on the energy mix in China and the facility\'s renewable energy adoption.</w:t>
      </w:r>
    </w:p>
    <w:p>
      <w:pPr>
        <w:numPr>
          <w:ilvl w:val="0"/>
          <w:numId w:val="1010"/>
        </w:numPr>
        <w:pStyle w:val="Compact"/>
      </w:pPr>
      <w:r>
        <w:rPr>
          <w:bCs/>
          <w:b/>
        </w:rPr>
        <w:t xml:space="preserve">Transportation:</w:t>
      </w:r>
      <w:r>
        <w:t xml:space="preserve"> </w:t>
      </w:r>
      <w:r>
        <w:t xml:space="preserve">Long distances and less efficient modes can contribute significantly.</w:t>
      </w:r>
    </w:p>
    <w:p>
      <w:pPr>
        <w:pStyle w:val="FirstParagraph"/>
      </w:pPr>
      <w:r>
        <w:rPr>
          <w:bCs/>
          <w:b/>
        </w:rPr>
        <w:t xml:space="preserve">Data Reliability:</w:t>
      </w:r>
      <w:r>
        <w:t xml:space="preserve"> </w:t>
      </w:r>
      <w:r>
        <w:t xml:space="preserve">The reliability of this report is directly tied to the accuracy and completeness of the provided primary data (BOM, energy usage, transport distances, etc.) and the quality of the secondary emission factors used. The illustrative emission factors for certain stages are based on recognized industry averages but may not perfectly reflect specific operational realities. For enhanced accuracy, primary data collection for all lifecycle stages and specific emission factors from verified databases like Ecoinvent or DEFRA would be required.</w:t>
      </w:r>
    </w:p>
    <w:bookmarkEnd w:id="39"/>
    <w:p>
      <w:r>
        <w:pict>
          <v:rect style="width:0;height:1.5pt" o:hralign="center" o:hrstd="t" o:hr="t"/>
        </w:pict>
      </w:r>
    </w:p>
    <w:bookmarkStart w:id="40" w:name="recommendations-for-emission-reduction"/>
    <w:p>
      <w:pPr>
        <w:pStyle w:val="Heading2"/>
      </w:pPr>
      <w:r>
        <w:t xml:space="preserve">Recommendations for Emission Reduction</w:t>
      </w:r>
    </w:p>
    <w:p>
      <w:pPr>
        <w:pStyle w:val="FirstParagraph"/>
      </w:pPr>
      <w:r>
        <w:t xml:space="preserve">To further reduce the PCF of nhmqqfrejd, rlhzpzjtrx should consider the following:</w:t>
      </w:r>
    </w:p>
    <w:p>
      <w:pPr>
        <w:numPr>
          <w:ilvl w:val="0"/>
          <w:numId w:val="1011"/>
        </w:numPr>
        <w:pStyle w:val="Compact"/>
      </w:pPr>
      <w:r>
        <w:rPr>
          <w:bCs/>
          <w:b/>
        </w:rPr>
        <w:t xml:space="preserve">Material Optimization:</w:t>
      </w:r>
    </w:p>
    <w:p>
      <w:pPr>
        <w:numPr>
          <w:ilvl w:val="1"/>
          <w:numId w:val="1012"/>
        </w:numPr>
        <w:pStyle w:val="Compact"/>
      </w:pPr>
      <w:r>
        <w:t xml:space="preserve">Explore alternative, lower-carbon materials for components, particularly for those with high emission factors (e.g., metals, specific plastics).</w:t>
      </w:r>
    </w:p>
    <w:p>
      <w:pPr>
        <w:numPr>
          <w:ilvl w:val="1"/>
          <w:numId w:val="1012"/>
        </w:numPr>
        <w:pStyle w:val="Compact"/>
      </w:pPr>
      <w:r>
        <w:t xml:space="preserve">Increase the use of recycled content in materials, verifying the associated lower emission factors.</w:t>
      </w:r>
    </w:p>
    <w:p>
      <w:pPr>
        <w:numPr>
          <w:ilvl w:val="1"/>
          <w:numId w:val="1012"/>
        </w:numPr>
        <w:pStyle w:val="Compact"/>
      </w:pPr>
      <w:r>
        <w:t xml:space="preserve">Optimize product design to reduce overall material consumption.</w:t>
      </w:r>
    </w:p>
    <w:p>
      <w:pPr>
        <w:numPr>
          <w:ilvl w:val="0"/>
          <w:numId w:val="1011"/>
        </w:numPr>
        <w:pStyle w:val="Compact"/>
      </w:pPr>
      <w:r>
        <w:rPr>
          <w:bCs/>
          <w:b/>
        </w:rPr>
        <w:t xml:space="preserve">Production Efficiency &amp; Renewable Energy:</w:t>
      </w:r>
    </w:p>
    <w:p>
      <w:pPr>
        <w:numPr>
          <w:ilvl w:val="1"/>
          <w:numId w:val="1013"/>
        </w:numPr>
        <w:pStyle w:val="Compact"/>
      </w:pPr>
      <w:r>
        <w:t xml:space="preserve">Increase the percentage of renewable energy usage at the production facilities beyond yvviuzoltm %.</w:t>
      </w:r>
    </w:p>
    <w:p>
      <w:pPr>
        <w:numPr>
          <w:ilvl w:val="1"/>
          <w:numId w:val="1013"/>
        </w:numPr>
        <w:pStyle w:val="Compact"/>
      </w:pPr>
      <w:r>
        <w:t xml:space="preserve">Implement energy efficiency measures in manufacturing processes to reduce zklwymsfny kWh/unit.</w:t>
      </w:r>
    </w:p>
    <w:p>
      <w:pPr>
        <w:numPr>
          <w:ilvl w:val="1"/>
          <w:numId w:val="1013"/>
        </w:numPr>
        <w:pStyle w:val="Compact"/>
      </w:pPr>
      <w:r>
        <w:t xml:space="preserve">Investigate the grid mix in the specific production region in China to understand and potentially influence the local energy transition.</w:t>
      </w:r>
    </w:p>
    <w:p>
      <w:pPr>
        <w:numPr>
          <w:ilvl w:val="0"/>
          <w:numId w:val="1011"/>
        </w:numPr>
        <w:pStyle w:val="Compact"/>
      </w:pPr>
      <w:r>
        <w:rPr>
          <w:bCs/>
          <w:b/>
        </w:rPr>
        <w:t xml:space="preserve">Logistics Optimization:</w:t>
      </w:r>
    </w:p>
    <w:p>
      <w:pPr>
        <w:numPr>
          <w:ilvl w:val="1"/>
          <w:numId w:val="1014"/>
        </w:numPr>
        <w:pStyle w:val="Compact"/>
      </w:pPr>
      <w:r>
        <w:t xml:space="preserve">Optimize transport routes and modes, prioritizing lower-emission options (e.g., rail or sea freight over air freight where feasible, full truckloads).</w:t>
      </w:r>
    </w:p>
    <w:p>
      <w:pPr>
        <w:numPr>
          <w:ilvl w:val="1"/>
          <w:numId w:val="1014"/>
        </w:numPr>
        <w:pStyle w:val="Compact"/>
      </w:pPr>
      <w:r>
        <w:t xml:space="preserve">Consider regionalized production or sourcing to reduce mssrhynhlz km transport distances.</w:t>
      </w:r>
    </w:p>
    <w:p>
      <w:pPr>
        <w:numPr>
          <w:ilvl w:val="1"/>
          <w:numId w:val="1014"/>
        </w:numPr>
        <w:pStyle w:val="Compact"/>
      </w:pPr>
      <w:r>
        <w:t xml:space="preserve">Evaluate last-mile delivery partners and channels (Delivery Type) for lower-carbon options (e.g., electric vehicles, cargo bikes in urban areas).</w:t>
      </w:r>
    </w:p>
    <w:p>
      <w:pPr>
        <w:numPr>
          <w:ilvl w:val="0"/>
          <w:numId w:val="1011"/>
        </w:numPr>
        <w:pStyle w:val="Compact"/>
      </w:pPr>
      <w:r>
        <w:rPr>
          <w:bCs/>
          <w:b/>
        </w:rPr>
        <w:t xml:space="preserve">Use Phase Improvement:</w:t>
      </w:r>
    </w:p>
    <w:p>
      <w:pPr>
        <w:numPr>
          <w:ilvl w:val="1"/>
          <w:numId w:val="1015"/>
        </w:numPr>
        <w:pStyle w:val="Compact"/>
      </w:pPr>
      <w:r>
        <w:t xml:space="preserve">Design products for greater energy efficiency during the use phase to reduce kdgqoiduvu kWh/year.</w:t>
      </w:r>
    </w:p>
    <w:p>
      <w:pPr>
        <w:numPr>
          <w:ilvl w:val="1"/>
          <w:numId w:val="1015"/>
        </w:numPr>
        <w:pStyle w:val="Compact"/>
      </w:pPr>
      <w:r>
        <w:t xml:space="preserve">Educate consumers on energy-efficient usage and best practices.</w:t>
      </w:r>
    </w:p>
    <w:p>
      <w:pPr>
        <w:numPr>
          <w:ilvl w:val="1"/>
          <w:numId w:val="1015"/>
        </w:numPr>
        <w:pStyle w:val="Compact"/>
      </w:pPr>
      <w:r>
        <w:t xml:space="preserve">Extend product lifespan (uypndnlghw) through durable design and repairability, thus amortizing embedded emissions over a longer period.</w:t>
      </w:r>
    </w:p>
    <w:p>
      <w:pPr>
        <w:numPr>
          <w:ilvl w:val="0"/>
          <w:numId w:val="1011"/>
        </w:numPr>
        <w:pStyle w:val="Compact"/>
      </w:pPr>
      <w:r>
        <w:rPr>
          <w:bCs/>
          <w:b/>
        </w:rPr>
        <w:t xml:space="preserve">End-of-Life Enhancement:</w:t>
      </w:r>
    </w:p>
    <w:p>
      <w:pPr>
        <w:numPr>
          <w:ilvl w:val="1"/>
          <w:numId w:val="1016"/>
        </w:numPr>
        <w:pStyle w:val="Compact"/>
      </w:pPr>
      <w:r>
        <w:t xml:space="preserve">Increase product recyclability beyond dfeznfzirl % through design for disassembly and material selection.</w:t>
      </w:r>
    </w:p>
    <w:p>
      <w:pPr>
        <w:numPr>
          <w:ilvl w:val="1"/>
          <w:numId w:val="1016"/>
        </w:numPr>
        <w:pStyle w:val="Compact"/>
      </w:pPr>
      <w:r>
        <w:t xml:space="preserve">Expand and promote Circular/Take-back Programs (keyqkrwujr) to ensure proper recycling and material recovery, minimizing waste to landfill.</w:t>
      </w:r>
    </w:p>
    <w:bookmarkEnd w:id="40"/>
    <w:p>
      <w:r>
        <w:pict>
          <v:rect style="width:0;height:1.5pt" o:hralign="center" o:hrstd="t" o:hr="t"/>
        </w:pict>
      </w:r>
    </w:p>
    <w:p>
      <w:pPr>
        <w:pStyle w:val="FirstParagraph"/>
      </w:pPr>
      <w:r>
        <w:t xml:space="preserve">Confidential - Internal Use Only |</w:t>
      </w:r>
      <w:r>
        <w:t xml:space="preserve"> </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nhmqqfrejd</dc:title>
  <dc:creator/>
  <dc:description>Detailed Product Carbon Footprint (PCF) analysis for nhmqqfrejd, following GHG Protocol standards, for company rlhzpzjtrx by Senior Sustainability Consultant gpuiurvgww.</dc:description>
  <dc:language>en</dc:language>
  <cp:keywords/>
  <dcterms:created xsi:type="dcterms:W3CDTF">2026-07-15T07:25:38Z</dcterms:created>
  <dcterms:modified xsi:type="dcterms:W3CDTF">2026-07-15T07:25:38Z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