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nhkyfwxwvu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nhkyfwxwvu</w:t>
      </w:r>
    </w:p>
    <w:p>
      <w:pPr>
        <w:pStyle w:val="BodyText"/>
      </w:pPr>
      <w:r>
        <w:rPr>
          <w:bCs/>
          <w:b/>
        </w:rPr>
        <w:t xml:space="preserve">Company Name:</w:t>
      </w:r>
      <w:r>
        <w:t xml:space="preserve"> </w:t>
      </w:r>
      <w:r>
        <w:t xml:space="preserve">nltohusywp</w:t>
      </w:r>
    </w:p>
    <w:p>
      <w:pPr>
        <w:pStyle w:val="BodyText"/>
      </w:pPr>
      <w:r>
        <w:rPr>
          <w:bCs/>
          <w:b/>
        </w:rPr>
        <w:t xml:space="preserve">Senior Sustainability Consultant:</w:t>
      </w:r>
      <w:r>
        <w:t xml:space="preserve"> </w:t>
      </w:r>
      <w:r>
        <w:t xml:space="preserve">xuktknqfui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intended for informational purposes. Actual emissions may vary based on precise operational data and evolving methodologies.</w:t>
      </w:r>
    </w:p>
    <w:bookmarkEnd w:id="20"/>
    <w:bookmarkStart w:id="41" w:name="X02d29898d33affd5fe52ed7029869bc8082559f"/>
    <w:p>
      <w:pPr>
        <w:pStyle w:val="Heading1"/>
      </w:pPr>
      <w:r>
        <w:t xml:space="preserve">Product Carbon Footprint (PCF) Analysis Report for nhkyfwxwvu</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nhkyfwxwvu</w:t>
      </w:r>
      <w:r>
        <w:t xml:space="preserve">, manufactured by</w:t>
      </w:r>
      <w:r>
        <w:t xml:space="preserve"> </w:t>
      </w:r>
      <w:r>
        <w:rPr>
          <w:bCs/>
          <w:b/>
        </w:rPr>
        <w:t xml:space="preserve">nltohusywp</w:t>
      </w:r>
      <w:r>
        <w:t xml:space="preserve">. As</w:t>
      </w:r>
      <w:r>
        <w:t xml:space="preserve"> </w:t>
      </w:r>
      <w:r>
        <w:rPr>
          <w:bCs/>
          <w:b/>
        </w:rPr>
        <w:t xml:space="preserve">xuktknqfui</w:t>
      </w:r>
      <w:r>
        <w:t xml:space="preserve">, Senior Sustainability Consultant, this analysis adheres to the Greenhouse Gas (GHG) Protocol, including the latest 2026 updates for the Land Sector and Removals (LSR) Standard and stringent Scope 3 coverage requirements. The assessment covers the full lifecycle from raw material extraction to end-of-life, providing a comprehensive overview of greenhouse gas emissions (CO2e) associated with the product. Key insights highlight emission hotspots across the supply chain, production, use, and end-of-life phases, offering actionable data for emission reduction strategies.</w:t>
      </w:r>
    </w:p>
    <w:p>
      <w:r>
        <w:pict>
          <v:rect style="width:0;height:1.5pt" o:hralign="center" o:hrstd="t" o:hr="t"/>
        </w:pict>
      </w:r>
    </w:p>
    <w:bookmarkEnd w:id="21"/>
    <w:bookmarkStart w:id="27" w:name="defining-the-scope"/>
    <w:p>
      <w:pPr>
        <w:pStyle w:val="Heading2"/>
      </w:pPr>
      <w:r>
        <w:t xml:space="preserve">1. Defining the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nhkyfwxwvu</w:t>
      </w:r>
      <w:r>
        <w:t xml:space="preserve">, providing its intended function throughout its lifespan.</w:t>
      </w:r>
    </w:p>
    <w:bookmarkEnd w:id="22"/>
    <w:bookmarkStart w:id="23" w:name="system-boundary"/>
    <w:p>
      <w:pPr>
        <w:pStyle w:val="Heading3"/>
      </w:pPr>
      <w:r>
        <w:t xml:space="preserve">1.2 System Boundary</w:t>
      </w:r>
    </w:p>
    <w:p>
      <w:pPr>
        <w:pStyle w:val="FirstParagraph"/>
      </w:pPr>
      <w:r>
        <w:t xml:space="preserve">The system boundary for this assessment is "factory_gate", following a "cradle-to-gate" approach for the initial phases, extended to include the use phase and end-of-life treatment to provide a comprehensive "cradle-to-grave" perspective. This includes raw material acquisition, manufacturing, transportation, the product\'s use phase, and its end-of-life disposal or recycling. Upstream activities (Scope 3, Category 1-8) and downstream activities (Scope 3, Category 9-12) are considered.</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dictates the application of regional emission factors where available, particularly for electricity grids and transport.</w:t>
      </w:r>
    </w:p>
    <w:bookmarkEnd w:id="24"/>
    <w:bookmarkStart w:id="25"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bookmarkEnd w:id="25"/>
    <w:bookmarkStart w:id="26" w:name="ghg-protocol-2026-updates-adherence"/>
    <w:p>
      <w:pPr>
        <w:pStyle w:val="Heading3"/>
      </w:pPr>
      <w:r>
        <w:t xml:space="preserve">1.5 GHG Protocol 2026 Updates Adherence</w:t>
      </w:r>
    </w:p>
    <w:p>
      <w:pPr>
        <w:numPr>
          <w:ilvl w:val="0"/>
          <w:numId w:val="1002"/>
        </w:numPr>
        <w:pStyle w:val="Compact"/>
      </w:pPr>
      <w:r>
        <w:rPr>
          <w:bCs/>
          <w:b/>
        </w:rPr>
        <w:t xml:space="preserve">Land Sector and Removals (LSR) Standard:</w:t>
      </w:r>
      <w:r>
        <w:t xml:space="preserve"> </w:t>
      </w:r>
      <w:r>
        <w:t xml:space="preserve">The analysis acknowledges the application of the 2026 LSR Standard for land use and carbon removals, effective January 1, 2027. While specific land use data for all components is beyond the scope of this particular data input, the framework for future inclusion and reporting of land-related emissions and removals is considered.</w:t>
      </w:r>
    </w:p>
    <w:p>
      <w:pPr>
        <w:numPr>
          <w:ilvl w:val="0"/>
          <w:numId w:val="1002"/>
        </w:numPr>
        <w:pStyle w:val="Compact"/>
      </w:pPr>
      <w:r>
        <w:rPr>
          <w:bCs/>
          <w:b/>
        </w:rPr>
        <w:t xml:space="preserve">Scope 3 Compliance:</w:t>
      </w:r>
      <w:r>
        <w:t xml:space="preserve"> </w:t>
      </w:r>
      <w:r>
        <w:t xml:space="preserve">We aim for at least 95% coverage for Scope 3 reporting, in line with proposed 2026 requirements, ensuring that all significant upstream and downstream value chain emissions are quantified or robustly estimated.</w:t>
      </w:r>
    </w:p>
    <w:p>
      <w:r>
        <w:pict>
          <v:rect style="width:0;height:1.5pt" o:hralign="center" o:hrstd="t" o:hr="t"/>
        </w:pict>
      </w:r>
    </w:p>
    <w:bookmarkEnd w:id="26"/>
    <w:bookmarkEnd w:id="27"/>
    <w:bookmarkStart w:id="33" w:name="X0013562128d9b0557400cee8e0ca077a95301f4"/>
    <w:p>
      <w:pPr>
        <w:pStyle w:val="Heading2"/>
      </w:pPr>
      <w:r>
        <w:t xml:space="preserve">2. Mapping the Product Lifecycle &amp; 3. Data Collection</w:t>
      </w:r>
    </w:p>
    <w:p>
      <w:pPr>
        <w:pStyle w:val="FirstParagraph"/>
      </w:pPr>
      <w:r>
        <w:t xml:space="preserve">The lifecycle of nhkyfwxwvu encompasses several stages, from raw material extraction and processing through manufacturing, distribution, use, and eventual end-of-life. Data collection involved leveraging the provided Detailed Bill of Materials (BOM) and specific operational parameters.</w:t>
      </w:r>
    </w:p>
    <w:bookmarkStart w:id="28" w:name="bill-of-materials-bom-for-nhkyfwxwvu"/>
    <w:p>
      <w:pPr>
        <w:pStyle w:val="Heading3"/>
      </w:pPr>
      <w:r>
        <w:t xml:space="preserve">3.1 Bill of Materials (BOM) for nhkyfwxwvu</w:t>
      </w:r>
    </w:p>
    <w:p>
      <w:pPr>
        <w:pStyle w:val="FirstParagraph"/>
      </w:pPr>
      <w:r>
        <w:t xml:space="preserve">The following detailed Bill of Materials (BOM) was used for material impact calculations. The Emission Factor (EF) and Total Carbon (TC) values provided in the BOM were directly used for material-related emissions.</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bookmarkEnd w:id="28"/>
    <w:bookmarkStart w:id="29" w:name="production-phase-data"/>
    <w:p>
      <w:pPr>
        <w:pStyle w:val="Heading3"/>
      </w:pPr>
      <w:r>
        <w:t xml:space="preserve">3.2 Production Phase Data</w:t>
      </w:r>
    </w:p>
    <w:p>
      <w:pPr>
        <w:numPr>
          <w:ilvl w:val="0"/>
          <w:numId w:val="1003"/>
        </w:numPr>
        <w:pStyle w:val="Compact"/>
      </w:pPr>
      <w:r>
        <w:rPr>
          <w:bCs/>
          <w:b/>
        </w:rPr>
        <w:t xml:space="preserve">Renewable Energy Usage:</w:t>
      </w:r>
      <w:r>
        <w:t xml:space="preserve"> </w:t>
      </w:r>
      <w:r>
        <w:t xml:space="preserve">vdsvodgqwi (e.g., "75%") - Assumed to be a percentage of electricity sourced from renewable energy.</w:t>
      </w:r>
    </w:p>
    <w:p>
      <w:pPr>
        <w:numPr>
          <w:ilvl w:val="0"/>
          <w:numId w:val="1003"/>
        </w:numPr>
        <w:pStyle w:val="Compact"/>
      </w:pPr>
      <w:r>
        <w:rPr>
          <w:bCs/>
          <w:b/>
        </w:rPr>
        <w:t xml:space="preserve">Energy Intensity (kWh/unit):</w:t>
      </w:r>
      <w:r>
        <w:t xml:space="preserve"> </w:t>
      </w:r>
      <w:r>
        <w:t xml:space="preserve">pfonxdheev kWh/unit - Represents the total electricity consumed during the manufacturing of one unit of nhkyfwxwvu.</w:t>
      </w:r>
    </w:p>
    <w:bookmarkEnd w:id="29"/>
    <w:bookmarkStart w:id="30" w:name="transport-distribution-data"/>
    <w:p>
      <w:pPr>
        <w:pStyle w:val="Heading3"/>
      </w:pPr>
      <w:r>
        <w:t xml:space="preserve">3.3 Transport &amp; Distribution Data</w:t>
      </w:r>
    </w:p>
    <w:p>
      <w:pPr>
        <w:numPr>
          <w:ilvl w:val="0"/>
          <w:numId w:val="1004"/>
        </w:numPr>
        <w:pStyle w:val="Compact"/>
      </w:pPr>
      <w:r>
        <w:rPr>
          <w:bCs/>
          <w:b/>
        </w:rPr>
        <w:t xml:space="preserve">Transport Mode:</w:t>
      </w:r>
      <w:r>
        <w:t xml:space="preserve"> </w:t>
      </w:r>
      <w:r>
        <w:t xml:space="preserve">Select Mode - For illustrative calculations, "Road Freight (Heavy Duty Truck)" is assumed.</w:t>
      </w:r>
    </w:p>
    <w:p>
      <w:pPr>
        <w:numPr>
          <w:ilvl w:val="0"/>
          <w:numId w:val="1004"/>
        </w:numPr>
        <w:pStyle w:val="Compact"/>
      </w:pPr>
      <w:r>
        <w:rPr>
          <w:bCs/>
          <w:b/>
        </w:rPr>
        <w:t xml:space="preserve">Transport Distance:</w:t>
      </w:r>
      <w:r>
        <w:t xml:space="preserve"> </w:t>
      </w:r>
      <w:r>
        <w:t xml:space="preserve">kkiyjimghi km - This distance is applied for key supply chain logistics.</w:t>
      </w:r>
    </w:p>
    <w:p>
      <w:pPr>
        <w:numPr>
          <w:ilvl w:val="0"/>
          <w:numId w:val="1004"/>
        </w:numPr>
        <w:pStyle w:val="Compact"/>
      </w:pPr>
      <w:r>
        <w:rPr>
          <w:bCs/>
          <w:b/>
        </w:rPr>
        <w:t xml:space="preserve">Last-Mile Delivery Channel:</w:t>
      </w:r>
      <w:r>
        <w:t xml:space="preserve"> </w:t>
      </w:r>
      <w:r>
        <w:t xml:space="preserve">Delivery Type - Assumed to be covered within the general transport mode for this analysis.</w:t>
      </w:r>
    </w:p>
    <w:p>
      <w:pPr>
        <w:numPr>
          <w:ilvl w:val="0"/>
          <w:numId w:val="1004"/>
        </w:numPr>
        <w:pStyle w:val="Compact"/>
      </w:pPr>
      <w:r>
        <w:rPr>
          <w:bCs/>
          <w:b/>
        </w:rPr>
        <w:t xml:space="preserve">Geographic Scope for Transport:</w:t>
      </w:r>
      <w:r>
        <w:t xml:space="preserve"> </w:t>
      </w:r>
      <w:r>
        <w:t xml:space="preserve">Supply Chain Focus: Europe Focused, Final Production Country: China. This implies both intra-European transport and international transport to China. For simplicity, the provided distance will be used to represent a significant leg of transport.</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xpvjpmqggw years - The estimated functional life of the product.</w:t>
      </w:r>
    </w:p>
    <w:p>
      <w:pPr>
        <w:numPr>
          <w:ilvl w:val="0"/>
          <w:numId w:val="1005"/>
        </w:numPr>
        <w:pStyle w:val="Compact"/>
      </w:pPr>
      <w:r>
        <w:rPr>
          <w:bCs/>
          <w:b/>
        </w:rPr>
        <w:t xml:space="preserve">Energy Consumption in Use:</w:t>
      </w:r>
      <w:r>
        <w:t xml:space="preserve"> </w:t>
      </w:r>
      <w:r>
        <w:t xml:space="preserve">mksmqrzhdt kWh/year - Annual electricity consumption during the product\'s use.</w:t>
      </w:r>
    </w:p>
    <w:bookmarkEnd w:id="31"/>
    <w:bookmarkStart w:id="32"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kxtqjrwslx (e.g., "60%") - Percentage of the product material that is technically recyclable.</w:t>
      </w:r>
    </w:p>
    <w:p>
      <w:pPr>
        <w:numPr>
          <w:ilvl w:val="0"/>
          <w:numId w:val="1006"/>
        </w:numPr>
        <w:pStyle w:val="Compact"/>
      </w:pPr>
      <w:r>
        <w:rPr>
          <w:bCs/>
          <w:b/>
        </w:rPr>
        <w:t xml:space="preserve">Circular/Take-back Programs:</w:t>
      </w:r>
      <w:r>
        <w:t xml:space="preserve"> </w:t>
      </w:r>
      <w:r>
        <w:t xml:space="preserve">zmimkhvugv - Qualitative information on programs to extend product life or recover materials.</w:t>
      </w:r>
    </w:p>
    <w:p>
      <w:r>
        <w:pict>
          <v:rect style="width:0;height:1.5pt" o:hralign="center" o:hrstd="t" o:hr="t"/>
        </w:pict>
      </w:r>
    </w:p>
    <w:bookmarkEnd w:id="32"/>
    <w:bookmarkEnd w:id="33"/>
    <w:bookmarkStart w:id="36" w:name="calculating-emissions"/>
    <w:p>
      <w:pPr>
        <w:pStyle w:val="Heading2"/>
      </w:pPr>
      <w:r>
        <w:t xml:space="preserve">4. Calculating Emissions</w:t>
      </w:r>
    </w:p>
    <w:p>
      <w:pPr>
        <w:pStyle w:val="FirstParagraph"/>
      </w:pPr>
      <w:r>
        <w:t xml:space="preserve">Emissions are calculated by multiplying activity data by relevant emission factors. This report categorizes emissions according to the GHG Protocol.</w:t>
      </w:r>
    </w:p>
    <w:bookmarkStart w:id="34" w:name="X0230aad0cab8d3b7126995a4c55aefd6334f522"/>
    <w:p>
      <w:pPr>
        <w:pStyle w:val="Heading3"/>
      </w:pPr>
      <w:r>
        <w:t xml:space="preserve">4.1 Illustrative Emission Factors Used (Unless specified in BOM)</w:t>
      </w:r>
    </w:p>
    <w:p>
      <w:pPr>
        <w:pStyle w:val="FirstParagraph"/>
      </w:pPr>
      <w:r>
        <w:t xml:space="preserve">For calculations where specific emission factors were not provided in the BOM, industry-representative illustrative factors are used. These values are generalized and for a precise real-world assessment, specific supplier data and regional grid mixes should be utilized.</w:t>
      </w:r>
    </w:p>
    <w:p>
      <w:pPr>
        <w:numPr>
          <w:ilvl w:val="0"/>
          <w:numId w:val="1007"/>
        </w:numPr>
        <w:pStyle w:val="Compact"/>
      </w:pPr>
      <w:r>
        <w:rPr>
          <w:bCs/>
          <w:b/>
        </w:rPr>
        <w:t xml:space="preserve">China Grid Electricity Mix:</w:t>
      </w:r>
      <w:r>
        <w:t xml:space="preserve"> </w:t>
      </w:r>
      <w:r>
        <w:t xml:space="preserve">0.60 kg CO2e/kWh (Illustrative average, considering values from 0.5568 kg CO2/kWh to 0.6205 kg CO2e/kWh for China).</w:t>
      </w:r>
    </w:p>
    <w:p>
      <w:pPr>
        <w:numPr>
          <w:ilvl w:val="0"/>
          <w:numId w:val="1007"/>
        </w:numPr>
        <w:pStyle w:val="Compact"/>
      </w:pPr>
      <w:r>
        <w:rPr>
          <w:bCs/>
          <w:b/>
        </w:rPr>
        <w:t xml:space="preserve">Renewable Electricity (Illustrative):</w:t>
      </w:r>
      <w:r>
        <w:t xml:space="preserve"> </w:t>
      </w:r>
      <w:r>
        <w:t xml:space="preserve">0.02 kg CO2e/kWh (Illustrative average, acknowledging ranges for specific renewable sources).</w:t>
      </w:r>
    </w:p>
    <w:p>
      <w:pPr>
        <w:numPr>
          <w:ilvl w:val="0"/>
          <w:numId w:val="1007"/>
        </w:numPr>
        <w:pStyle w:val="Compact"/>
      </w:pPr>
      <w:r>
        <w:rPr>
          <w:bCs/>
          <w:b/>
        </w:rPr>
        <w:t xml:space="preserve">Road Freight (Heavy Duty Truck):</w:t>
      </w:r>
      <w:r>
        <w:t xml:space="preserve"> </w:t>
      </w:r>
      <w:r>
        <w:t xml:space="preserve">0.1 kg CO2e/tonne-km (Illustrative average).</w:t>
      </w:r>
    </w:p>
    <w:p>
      <w:pPr>
        <w:numPr>
          <w:ilvl w:val="0"/>
          <w:numId w:val="1007"/>
        </w:numPr>
        <w:pStyle w:val="Compact"/>
      </w:pPr>
      <w:r>
        <w:rPr>
          <w:bCs/>
          <w:b/>
        </w:rPr>
        <w:t xml:space="preserve">End-of-Life Disposal (Landfill/Incineration):</w:t>
      </w:r>
      <w:r>
        <w:t xml:space="preserve"> </w:t>
      </w:r>
      <w:r>
        <w:t xml:space="preserve">1.0 kg CO2e/kg (Illustrative average for non-recycled waste, varies by material).</w:t>
      </w:r>
    </w:p>
    <w:p>
      <w:pPr>
        <w:numPr>
          <w:ilvl w:val="0"/>
          <w:numId w:val="1007"/>
        </w:numPr>
        <w:pStyle w:val="Compact"/>
      </w:pPr>
      <w:r>
        <w:rPr>
          <w:bCs/>
          <w:b/>
        </w:rPr>
        <w:t xml:space="preserve">End-of-Life Recycling Benefit (Avoided Virgin Production):</w:t>
      </w:r>
      <w:r>
        <w:t xml:space="preserve"> </w:t>
      </w:r>
      <w:r>
        <w:t xml:space="preserve">-0.5 kg CO2e/kg (Illustrative average for high-impact materials like metals/plastics).</w:t>
      </w:r>
    </w:p>
    <w:bookmarkEnd w:id="34"/>
    <w:bookmarkStart w:id="35" w:name="emissions-by-lifecycle-stage-and-scope"/>
    <w:p>
      <w:pPr>
        <w:pStyle w:val="Heading3"/>
      </w:pPr>
      <w:r>
        <w:t xml:space="preserve">4.2 Emissions by Lifecycle Stage and Scope</w:t>
      </w:r>
    </w:p>
    <w:p>
      <w:pPr>
        <w:pStyle w:val="FirstParagraph"/>
      </w:pPr>
      <w:r>
        <w:t xml:space="preserve">For calculation purposes, numerical parameters provided as strings (`kkiyjimghi`, `vdsvodgqwi`, `pfonxdheev`, `xpvjpmqggw`, `mksmqrzhdt`, `kxtqjrwslx`) are converted to appropriate numerical types (e.g., floats). For `vdsvodgqwi` and `kxtqjrwslx`, percentages are converted to decimals (e.g., "75%" becomes 0.75).</w:t>
      </w:r>
    </w:p>
    <w:p>
      <w:r>
        <w:pict>
          <v:rect style="width:0;height:1.5pt" o:hralign="center" o:hrstd="t" o:hr="t"/>
        </w:pict>
      </w:r>
    </w:p>
    <w:bookmarkEnd w:id="35"/>
    <w:bookmarkEnd w:id="36"/>
    <w:bookmarkStart w:id="40"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Based on this analysis, the primary emission hotspots for nhkyfwxwvu are:</w:t>
      </w:r>
    </w:p>
    <w:p>
      <w:pPr>
        <w:numPr>
          <w:ilvl w:val="0"/>
          <w:numId w:val="1008"/>
        </w:numPr>
        <w:pStyle w:val="Compact"/>
      </w:pPr>
      <w:r>
        <w:rPr>
          <w:bCs/>
          <w:b/>
        </w:rPr>
        <w:t xml:space="preserve">End-of-Life Treatment:</w:t>
      </w:r>
      <w:r>
        <w:t xml:space="preserve"> </w:t>
      </w:r>
      <w:r>
        <w:t xml:space="preserve">While recycling provides benefits, the emissions from the disposed portion still contribute to the overall footprint. Enhancing circular economy initiatives and product design for maximum recyclability or reuse is crucial.</w:t>
      </w:r>
    </w:p>
    <w:bookmarkEnd w:id="37"/>
    <w:bookmarkStart w:id="38" w:name="data-reliability-and-limitations"/>
    <w:p>
      <w:pPr>
        <w:pStyle w:val="Heading3"/>
      </w:pPr>
      <w:r>
        <w:t xml:space="preserve">5.2 Data Reliability and Limitations</w:t>
      </w:r>
    </w:p>
    <w:p>
      <w:pPr>
        <w:pStyle w:val="FirstParagraph"/>
      </w:pPr>
      <w:r>
        <w:t xml:space="preserve">The reliability of this PCF is good for the data provided, but it is subject to the following limitations:</w:t>
      </w:r>
    </w:p>
    <w:p>
      <w:pPr>
        <w:numPr>
          <w:ilvl w:val="0"/>
          <w:numId w:val="1009"/>
        </w:numPr>
        <w:pStyle w:val="Compact"/>
      </w:pPr>
      <w:r>
        <w:rPr>
          <w:bCs/>
          <w:b/>
        </w:rPr>
        <w:t xml:space="preserve">Illustrative Emission Factors:</w:t>
      </w:r>
      <w:r>
        <w:t xml:space="preserve"> </w:t>
      </w:r>
      <w:r>
        <w:t xml:space="preserve">Several emission factors for electricity, transport, and EoL were based on general industry averages due to the nature of the input parameters. A more precise assessment would benefit from supplier-specific and region-specific emission factors.</w:t>
      </w:r>
    </w:p>
    <w:p>
      <w:pPr>
        <w:numPr>
          <w:ilvl w:val="0"/>
          <w:numId w:val="1009"/>
        </w:numPr>
        <w:pStyle w:val="Compact"/>
      </w:pPr>
      <w:r>
        <w:rPr>
          <w:bCs/>
          <w:b/>
        </w:rPr>
        <w:t xml:space="preserve">Placeholder Data:</w:t>
      </w:r>
      <w:r>
        <w:t xml:space="preserve"> </w:t>
      </w:r>
      <w:r>
        <w:t xml:space="preserve">"Select Mode", "Delivery Type", "kkiyjimghi", "vdsvodgqwi", "pfonxdheev", "xpvjpmqggw", "mksmqrzhdt", "kxtqjrwslx", "zmimkhvugv" were provided as strings and interpreted for calculation. Real-world values and detailed data for these parameters would enhance accuracy. For example, the `kkiyjimghi` distance was treated as a single transport leg, and `Select Mode` was assumed as road freight.</w:t>
      </w:r>
    </w:p>
    <w:p>
      <w:pPr>
        <w:numPr>
          <w:ilvl w:val="0"/>
          <w:numId w:val="1009"/>
        </w:numPr>
        <w:pStyle w:val="Compact"/>
      </w:pPr>
      <w:r>
        <w:rPr>
          <w:bCs/>
          <w:b/>
        </w:rPr>
        <w:t xml:space="preserve">BOM Specificity:</w:t>
      </w:r>
      <w:r>
        <w:t xml:space="preserve"> </w:t>
      </w:r>
      <w:r>
        <w:t xml:space="preserve">The provided BOM contains "Emission Factor" and "Total Carbon" which were directly used, offering high accuracy for material-specific impacts within the given data.</w:t>
      </w:r>
    </w:p>
    <w:p>
      <w:pPr>
        <w:numPr>
          <w:ilvl w:val="0"/>
          <w:numId w:val="1009"/>
        </w:numPr>
        <w:pStyle w:val="Compact"/>
      </w:pPr>
      <w:r>
        <w:rPr>
          <w:bCs/>
          <w:b/>
        </w:rPr>
        <w:t xml:space="preserve">LSR Standard and Scope 3 Coverage:</w:t>
      </w:r>
      <w:r>
        <w:t xml:space="preserve"> </w:t>
      </w:r>
      <w:r>
        <w:t xml:space="preserve">While the report acknowledges the 2026 GHG Protocol updates, a full implementation of the LSR Standard would require detailed land-use data across the supply chain, and achieving 95% Scope 3 coverage in a real-world scenario necessitates extensive primary data collection from all relevant value chain partners. This report demonstrates the framework for such compliance.</w:t>
      </w:r>
    </w:p>
    <w:bookmarkEnd w:id="38"/>
    <w:bookmarkStart w:id="39" w:name="recommendations-for-future-improvement"/>
    <w:p>
      <w:pPr>
        <w:pStyle w:val="Heading3"/>
      </w:pPr>
      <w:r>
        <w:t xml:space="preserve">5.3 Recommendations for Future Improvement</w:t>
      </w:r>
    </w:p>
    <w:p>
      <w:pPr>
        <w:numPr>
          <w:ilvl w:val="0"/>
          <w:numId w:val="1010"/>
        </w:numPr>
        <w:pStyle w:val="Compact"/>
      </w:pPr>
      <w:r>
        <w:rPr>
          <w:bCs/>
          <w:b/>
        </w:rPr>
        <w:t xml:space="preserve">Data Collection:</w:t>
      </w:r>
      <w:r>
        <w:t xml:space="preserve"> </w:t>
      </w:r>
      <w:r>
        <w:t xml:space="preserve">Prioritize collecting primary data from suppliers regarding material production, specific energy consumption in manufacturing, and detailed logistics (modes, distances, payload).</w:t>
      </w:r>
    </w:p>
    <w:p>
      <w:pPr>
        <w:numPr>
          <w:ilvl w:val="0"/>
          <w:numId w:val="1010"/>
        </w:numPr>
        <w:pStyle w:val="Compact"/>
      </w:pPr>
      <w:r>
        <w:rPr>
          <w:bCs/>
          <w:b/>
        </w:rPr>
        <w:t xml:space="preserve">Design for Circularity:</w:t>
      </w:r>
      <w:r>
        <w:t xml:space="preserve"> </w:t>
      </w:r>
      <w:r>
        <w:t xml:space="preserve">Enhance product design to maximize recyclability and integrate higher percentages of recycled content. Expand and promote circular/take-back programs.</w:t>
      </w:r>
    </w:p>
    <w:p>
      <w:pPr>
        <w:numPr>
          <w:ilvl w:val="0"/>
          <w:numId w:val="1010"/>
        </w:numPr>
        <w:pStyle w:val="Compact"/>
      </w:pPr>
      <w:r>
        <w:rPr>
          <w:bCs/>
          <w:b/>
        </w:rPr>
        <w:t xml:space="preserve">Renewable Energy Transition:</w:t>
      </w:r>
      <w:r>
        <w:t xml:space="preserve"> </w:t>
      </w:r>
      <w:r>
        <w:t xml:space="preserve">Invest further in renewable energy at manufacturing facilities or procure high-quality renewable energy credits to further decarbonize Scope 2 emissions.</w:t>
      </w:r>
    </w:p>
    <w:p>
      <w:pPr>
        <w:numPr>
          <w:ilvl w:val="0"/>
          <w:numId w:val="1010"/>
        </w:numPr>
        <w:pStyle w:val="Compact"/>
      </w:pPr>
      <w:r>
        <w:rPr>
          <w:bCs/>
          <w:b/>
        </w:rPr>
        <w:t xml:space="preserve">Supply Chain Engagement:</w:t>
      </w:r>
      <w:r>
        <w:t xml:space="preserve"> </w:t>
      </w:r>
      <w:r>
        <w:t xml:space="preserve">Work with suppliers to identify opportunities for reducing their emissions, especially for high-impact materials.</w:t>
      </w:r>
    </w:p>
    <w:p>
      <w:r>
        <w:pict>
          <v:rect style="width:0;height:1.5pt" o:hralign="center" o:hrstd="t" o:hr="t"/>
        </w:pict>
      </w:r>
    </w:p>
    <w:p>
      <w:pPr>
        <w:pStyle w:val="FirstParagraph"/>
      </w:pPr>
      <w:r>
        <w:t xml:space="preserve">Confidential - Internal Use Only | Page 1 of 1 (Illustrative)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nhkyfwxwvu</dc:title>
  <dc:creator/>
  <dc:description>Detailed Product Carbon Footprint (PCF) analysis report for nhkyfwxwvu, conducted by Senior Sustainability Consultant xuktknqfui for nltohusywp, adhering to GHG Protocol standards and 2026 updates.</dc:description>
  <dc:language>en</dc:language>
  <cp:keywords/>
  <dcterms:created xsi:type="dcterms:W3CDTF">2026-05-30T10:36:54Z</dcterms:created>
  <dcterms:modified xsi:type="dcterms:W3CDTF">2026-05-30T10:36:54Z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