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ngqyezkzmi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ngqyezkzmi</w:t>
      </w:r>
    </w:p>
    <w:p>
      <w:pPr>
        <w:pStyle w:val="BodyText"/>
      </w:pPr>
      <w:r>
        <w:t xml:space="preserve">Company Name: vjwngzhptt</w:t>
      </w:r>
    </w:p>
    <w:p>
      <w:pPr>
        <w:pStyle w:val="BodyText"/>
      </w:pPr>
      <w:r>
        <w:t xml:space="preserve">Senior Sustainability Consultant: johwzkvnzj</w:t>
      </w:r>
    </w:p>
    <w:p>
      <w:pPr>
        <w:pStyle w:val="BodyText"/>
      </w:pPr>
      <w:r>
        <w:t xml:space="preserve">Accounting Standard: GHG Protocol</w:t>
      </w:r>
    </w:p>
    <w:p>
      <w:pPr>
        <w:pStyle w:val="BodyText"/>
      </w:pPr>
      <w:r>
        <w:t xml:space="preserve">This report is generated based on available data and industry standards. While every effort has been made to ensure accuracy, the actual impacts may vary depending on real-world conditions and data availability.</w:t>
      </w:r>
    </w:p>
    <w:bookmarkEnd w:id="20"/>
    <w:bookmarkStart w:id="49" w:name="Xe8c4504f5db83597f8c338f0482d8f70944f7d0"/>
    <w:p>
      <w:pPr>
        <w:pStyle w:val="Heading1"/>
      </w:pPr>
      <w:r>
        <w:t xml:space="preserve">Product Carbon Footprint Analysis Report: ngqyezkzmi</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johwzkvnzj</w:t>
      </w:r>
    </w:p>
    <w:p>
      <w:pPr>
        <w:pStyle w:val="BodyText"/>
      </w:pPr>
      <w:r>
        <w:rPr>
          <w:bCs/>
          <w:b/>
        </w:rPr>
        <w:t xml:space="preserve">Company Name:</w:t>
      </w:r>
      <w:r>
        <w:t xml:space="preserve"> </w:t>
      </w:r>
      <w:r>
        <w:t xml:space="preserve">vjwngzhptt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ngqyezkzmi, manufactured by vjwngzhptt. The analysis, conducted by Senior Sustainability Consultant johwzkvnzj, adheres to the Greenhouse Gas (GHG) Protocol and incorporates the latest 2026 Land Sector and Removals (LSR) Standard updates, along with stringent Scope 3 compliance requirements. The primary objective is to quantify the total greenhouse gas emissions associated with ngqyezkzmi across its lifecycle, from material acquisition to end-of-life, providing critical insights into environmental hotspots and opportunities for reduction.</w:t>
      </w:r>
    </w:p>
    <w:p>
      <w:pPr>
        <w:pStyle w:val="BodyText"/>
      </w:pPr>
      <w:r>
        <w:t xml:space="preserve">The analysis reveals a total cradle-to-gate PCF of</w:t>
      </w:r>
      <w:r>
        <w:t xml:space="preserve"> </w:t>
      </w:r>
      <w:r>
        <w:rPr>
          <w:bCs/>
          <w:b/>
        </w:rPr>
        <w:t xml:space="preserve">20.40 kg CO2e per unit</w:t>
      </w:r>
      <w:r>
        <w:t xml:space="preserve">, primarily driven by upstream material impacts. Extending to a cradle-to-grave perspective, which includes downstream transport, the use phase, and end-of-life, the total PCF for ngqyezkzmi is approximately</w:t>
      </w:r>
      <w:r>
        <w:t xml:space="preserve"> </w:t>
      </w:r>
      <w:r>
        <w:rPr>
          <w:bCs/>
          <w:b/>
        </w:rPr>
        <w:t xml:space="preserve">30.69 kg CO2e per unit</w:t>
      </w:r>
      <w:r>
        <w:t xml:space="preserve">. Key emission hotspots identified include material production and the product\'s energy consumption during its use phase.</w:t>
      </w:r>
    </w:p>
    <w:p>
      <w:r>
        <w:pict>
          <v:rect style="width:0;height:1.5pt" o:hralign="center" o:hrstd="t" o:hr="t"/>
        </w:pict>
      </w:r>
    </w:p>
    <w:bookmarkEnd w:id="21"/>
    <w:bookmarkStart w:id="29" w:name="defining-the-scope-of-analysis"/>
    <w:p>
      <w:pPr>
        <w:pStyle w:val="Heading2"/>
      </w:pPr>
      <w:r>
        <w:t xml:space="preserve">1. Defining the Scope of Analysis</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ngqyezkzmi</w:t>
      </w:r>
      <w:r>
        <w:t xml:space="preserve">.</w:t>
      </w:r>
    </w:p>
    <w:bookmarkEnd w:id="22"/>
    <w:bookmarkStart w:id="23" w:name="system-boundaries"/>
    <w:p>
      <w:pPr>
        <w:pStyle w:val="Heading3"/>
      </w:pPr>
      <w:r>
        <w:t xml:space="preserve">System Boundaries</w:t>
      </w:r>
    </w:p>
    <w:p>
      <w:pPr>
        <w:pStyle w:val="FirstParagraph"/>
      </w:pPr>
      <w:r>
        <w:t xml:space="preserve">The primary system boundary for the core production analysis is</w:t>
      </w:r>
      <w:r>
        <w:t xml:space="preserve"> </w:t>
      </w:r>
      <w:r>
        <w:rPr>
          <w:bCs/>
          <w:b/>
        </w:rPr>
        <w:t xml:space="preserve">"factory_gate"</w:t>
      </w:r>
      <w:r>
        <w:t xml:space="preserve"> </w:t>
      </w:r>
      <w:r>
        <w:t xml:space="preserve">(cradle-to-gate). This encompasses all emissions from raw material extraction, processing, manufacturing, and transport to the point where the finished product leaves the factory gate.</w:t>
      </w:r>
    </w:p>
    <w:p>
      <w:pPr>
        <w:pStyle w:val="BodyText"/>
      </w:pPr>
      <w:r>
        <w:t xml:space="preserve">However, to provide a holistic understanding of the product\'s environmental impact as per the user\'s request, the analysis is extended to a</w:t>
      </w:r>
      <w:r>
        <w:t xml:space="preserve"> </w:t>
      </w:r>
      <w:r>
        <w:rPr>
          <w:bCs/>
          <w:b/>
        </w:rPr>
        <w:t xml:space="preserve">"cradle-to-grave"</w:t>
      </w:r>
      <w:r>
        <w:t xml:space="preserve"> </w:t>
      </w:r>
      <w:r>
        <w:t xml:space="preserve">perspective. This includes downstream transport to the customer, the product\'s use phase, and its end-of-life management.</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upstream materials and downstream market)</w:t>
      </w:r>
    </w:p>
    <w:bookmarkEnd w:id="24"/>
    <w:bookmarkStart w:id="25" w:name="allocation"/>
    <w:p>
      <w:pPr>
        <w:pStyle w:val="Heading3"/>
      </w:pPr>
      <w:r>
        <w:t xml:space="preserve">Allocation</w:t>
      </w:r>
    </w:p>
    <w:p>
      <w:pPr>
        <w:pStyle w:val="FirstParagraph"/>
      </w:pPr>
      <w:r>
        <w:t xml:space="preserve">Emissions are allocated directly to the functional unit (1.0 unit of ngqyezkzmi) based on mass, energy consumption, and distance-based transport activity. Co-product allocation is not applicable given the focus on a single product\'s PCF. Recycling benefits are considered in the End-of-Life phase.</w:t>
      </w:r>
    </w:p>
    <w:bookmarkEnd w:id="25"/>
    <w:bookmarkStart w:id="26" w:name="accounting-standard"/>
    <w:p>
      <w:pPr>
        <w:pStyle w:val="Heading3"/>
      </w:pPr>
      <w:r>
        <w:t xml:space="preserve">Accounting Standard</w:t>
      </w:r>
    </w:p>
    <w:p>
      <w:pPr>
        <w:pStyle w:val="FirstParagraph"/>
      </w:pPr>
      <w:r>
        <w:t xml:space="preserve">This analysis strictly adheres to the principles and requirements of the</w:t>
      </w:r>
      <w:r>
        <w:t xml:space="preserve"> </w:t>
      </w:r>
      <w:r>
        <w:rPr>
          <w:bCs/>
          <w:b/>
        </w:rPr>
        <w:t xml:space="preserve">GHG Protocol</w:t>
      </w:r>
      <w:r>
        <w:t xml:space="preserve">, the world\'s most widely used greenhouse gas accounting standard. Emissions are categorized into Scope 1 (direct emissions), Scope 2 (indirect emissions from purchased energy), and Scope 3 (all other indirect emissions in the value chain).</w:t>
      </w:r>
    </w:p>
    <w:bookmarkEnd w:id="26"/>
    <w:bookmarkStart w:id="27" w:name="X7ef73fe3d39a8d84fae696b42f814aa0d860ec0"/>
    <w:p>
      <w:pPr>
        <w:pStyle w:val="Heading3"/>
      </w:pPr>
      <w:r>
        <w:t xml:space="preserve">2026 LSR Update (Land Sector and Removals Standard)</w:t>
      </w:r>
    </w:p>
    <w:p>
      <w:pPr>
        <w:pStyle w:val="FirstParagraph"/>
      </w:pPr>
      <w:r>
        <w:t xml:space="preserve">In accordance with the 2026 updates, the Land Sector and Removals (LSR) Standard is acknowledged for land use and carbon removals. The LSR Standard provides accounting requirements for companies with land sector activities in their operations or value chain, including agricultural production and biogenic product CO2 emissions. For ngqyezkzmi, composed primarily of non-biogenic materials (metals, plastics, electronics), significant direct land-sector emissions or removals are not a primary driver of its PCF. However, embedded land-use impacts within bio-based materials (e.g., paper packaging) are considered within their respective emission factors. This standard is particularly relevant for tracking agricultural management practices that sequester carbon or for technological CO2 removals.</w:t>
      </w:r>
    </w:p>
    <w:bookmarkEnd w:id="27"/>
    <w:bookmarkStart w:id="28" w:name="scope-3-compliance"/>
    <w:p>
      <w:pPr>
        <w:pStyle w:val="Heading3"/>
      </w:pPr>
      <w:r>
        <w:t xml:space="preserve">Scope 3 Compliance</w:t>
      </w:r>
    </w:p>
    <w:p>
      <w:pPr>
        <w:pStyle w:val="FirstParagraph"/>
      </w:pPr>
      <w:r>
        <w:t xml:space="preserve">The analysis ensures a comprehensive coverage of Scope 3 emissions, striving for at least 95% coverage as per 2026 requirements. This includes both upstream (e.g., material extraction, supplier manufacturing) and downstream (e.g., product use, end-of-life treatment) activities in the value chain. This extensive coverage provides a more complete picture of the product\'s total environmental footprint.</w:t>
      </w:r>
    </w:p>
    <w:p>
      <w:r>
        <w:pict>
          <v:rect style="width:0;height:1.5pt" o:hralign="center" o:hrstd="t" o:hr="t"/>
        </w:pict>
      </w:r>
    </w:p>
    <w:bookmarkEnd w:id="28"/>
    <w:bookmarkEnd w:id="29"/>
    <w:bookmarkStart w:id="36" w:name="Xefbb22e05acec66def869d507d625881f1b6c78"/>
    <w:p>
      <w:pPr>
        <w:pStyle w:val="Heading2"/>
      </w:pPr>
      <w:r>
        <w:t xml:space="preserve">2. Mapping the Lifecycle and 3. Data Collection</w:t>
      </w:r>
    </w:p>
    <w:p>
      <w:pPr>
        <w:pStyle w:val="FirstParagraph"/>
      </w:pPr>
      <w:r>
        <w:t xml:space="preserve">The lifecycle of ngqyezkzmi is mapped into the following stages, with primary and secondary data collected for each:</w:t>
      </w:r>
    </w:p>
    <w:bookmarkStart w:id="31" w:name="Xf8bb28ae483c59759931b7b591bff027aa66408"/>
    <w:p>
      <w:pPr>
        <w:pStyle w:val="Heading3"/>
      </w:pPr>
      <w:r>
        <w:t xml:space="preserve">a. Material Acquisition &amp; Pre-processing (Scope 3 - Upstream)</w:t>
      </w:r>
    </w:p>
    <w:p>
      <w:pPr>
        <w:pStyle w:val="FirstParagraph"/>
      </w:pPr>
      <w:r>
        <w:t xml:space="preserve">This stage accounts for the extraction of raw materials, their initial processing, and manufacturing into components, including any associated upstream transport to the main production facility in China. The Detailed Bill of Materials (BOM) for ngqyezkzmi (wujesspj) provides high-accuracy material impact calculation, replacing default estimates. The \'Total Carbon\' values in the BOM are assumed to encompass the cradle-to-gate emissions for each respective material.</w:t>
      </w:r>
    </w:p>
    <w:bookmarkStart w:id="30" w:name="Xb33dcf0eea1bf1c8e1f5d64fb15bf019ad7422f"/>
    <w:p>
      <w:pPr>
        <w:pStyle w:val="Heading4"/>
      </w:pPr>
      <w:r>
        <w:t xml:space="preserve">Detailed Bill of Materials (BOM) - ngqyezkzmi</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0.80</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002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003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20.0 (per unit)</w:t>
            </w:r>
          </w:p>
        </w:tc>
        <w:tc>
          <w:tcPr/>
          <w:p>
            <w:pPr>
              <w:pStyle w:val="Compact"/>
              <w:jc w:val="left"/>
            </w:pPr>
            <w:r>
              <w:t xml:space="preserve">3.00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w:t>
            </w:r>
          </w:p>
        </w:tc>
      </w:tr>
      <w:tr>
        <w:tc>
          <w:tcPr/>
          <w:p>
            <w:pPr>
              <w:pStyle w:val="Compact"/>
              <w:jc w:val="left"/>
            </w:pPr>
            <w:r>
              <w:t xml:space="preserve">005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 &amp; Forming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p>
            <w:pPr>
              <w:pStyle w:val="Compact"/>
              <w:jc w:val="left"/>
            </w:pPr>
            <w:r>
              <w:t xml:space="preserve">007</w:t>
            </w:r>
          </w:p>
        </w:tc>
        <w:tc>
          <w:tcPr/>
          <w:p>
            <w:pPr>
              <w:pStyle w:val="Compact"/>
              <w:jc w:val="left"/>
            </w:pPr>
            <w:r>
              <w:t xml:space="preserve">User Manual (Paper)</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0.02</w:t>
            </w:r>
          </w:p>
        </w:tc>
      </w:tr>
      <w:tr>
        <w:tc>
          <w:tcPr>
            <w:gridSpan w:val="4"/>
          </w:tcPr>
          <w:p>
            <w:pPr>
              <w:pStyle w:val="Compact"/>
              <w:jc w:val="right"/>
            </w:pPr>
            <w:r>
              <w:rPr>
                <w:bCs/>
                <w:b/>
              </w:rPr>
              <w:t xml:space="preserve">Total Material Mass:</w:t>
            </w:r>
          </w:p>
        </w:tc>
        <w:tc>
          <w:tcPr/>
          <w:p>
            <w:pPr>
              <w:pStyle w:val="Compact"/>
              <w:jc w:val="left"/>
            </w:pPr>
            <w:r>
              <w:rPr>
                <w:bCs/>
                <w:b/>
              </w:rPr>
              <w:t xml:space="preserve">1.62 kg</w:t>
            </w:r>
          </w:p>
        </w:tc>
        <w:tc>
          <w:tcPr>
            <w:gridSpan w:val="2"/>
          </w:tcPr>
          <w:p>
            <w:pPr>
              <w:pStyle w:val="Compact"/>
              <w:jc w:val="right"/>
            </w:pPr>
            <w:r>
              <w:rPr>
                <w:bCs/>
                <w:b/>
              </w:rPr>
              <w:t xml:space="preserve">Total Material Carbon (Cradle-to-Gate for materials):</w:t>
            </w:r>
          </w:p>
        </w:tc>
        <w:tc>
          <w:tcPr/>
          <w:p>
            <w:pPr>
              <w:pStyle w:val="Compact"/>
              <w:jc w:val="left"/>
            </w:pPr>
            <w:r>
              <w:rPr>
                <w:bCs/>
                <w:b/>
              </w:rPr>
              <w:t xml:space="preserve">20.04 kg CO2e</w:t>
            </w:r>
          </w:p>
        </w:tc>
      </w:tr>
    </w:tbl>
    <w:bookmarkEnd w:id="30"/>
    <w:bookmarkEnd w:id="31"/>
    <w:bookmarkStart w:id="32" w:name="b.-production-manufacturing-scope-1-2"/>
    <w:p>
      <w:pPr>
        <w:pStyle w:val="Heading3"/>
      </w:pPr>
      <w:r>
        <w:t xml:space="preserve">b. Production (Manufacturing) (Scope 1 &amp; 2)</w:t>
      </w:r>
    </w:p>
    <w:p>
      <w:pPr>
        <w:pStyle w:val="FirstParagraph"/>
      </w:pPr>
      <w:r>
        <w:t xml:space="preserve">This phase covers the energy consumption and direct emissions at vjwngzhptt\'s manufacturing facility in China for assembling ngqyezkzmi.</w:t>
      </w:r>
    </w:p>
    <w:p>
      <w:pPr>
        <w:numPr>
          <w:ilvl w:val="0"/>
          <w:numId w:val="1002"/>
        </w:numPr>
        <w:pStyle w:val="Compact"/>
      </w:pPr>
      <w:r>
        <w:rPr>
          <w:bCs/>
          <w:b/>
        </w:rPr>
        <w:t xml:space="preserve">Renewable Energy Usage:</w:t>
      </w:r>
      <w:r>
        <w:t xml:space="preserve"> </w:t>
      </w:r>
      <w:r>
        <w:t xml:space="preserve">xtnqtmfksz (75%)</w:t>
      </w:r>
    </w:p>
    <w:p>
      <w:pPr>
        <w:numPr>
          <w:ilvl w:val="0"/>
          <w:numId w:val="1002"/>
        </w:numPr>
        <w:pStyle w:val="Compact"/>
      </w:pPr>
      <w:r>
        <w:rPr>
          <w:bCs/>
          <w:b/>
        </w:rPr>
        <w:t xml:space="preserve">Energy Intensity (kWh/unit):</w:t>
      </w:r>
      <w:r>
        <w:t xml:space="preserve"> </w:t>
      </w:r>
      <w:r>
        <w:t xml:space="preserve">kjudfwqhre (2.5 kWh/unit)</w:t>
      </w:r>
    </w:p>
    <w:p>
      <w:pPr>
        <w:numPr>
          <w:ilvl w:val="0"/>
          <w:numId w:val="1002"/>
        </w:numPr>
        <w:pStyle w:val="Compact"/>
      </w:pPr>
      <w:r>
        <w:rPr>
          <w:bCs/>
          <w:b/>
        </w:rPr>
        <w:t xml:space="preserve">Non-renewable energy portion:</w:t>
      </w:r>
      <w:r>
        <w:t xml:space="preserve"> </w:t>
      </w:r>
      <w:r>
        <w:t xml:space="preserve">25% of total energy.</w:t>
      </w:r>
    </w:p>
    <w:p>
      <w:pPr>
        <w:numPr>
          <w:ilvl w:val="0"/>
          <w:numId w:val="1002"/>
        </w:numPr>
        <w:pStyle w:val="Compact"/>
      </w:pPr>
      <w:r>
        <w:rPr>
          <w:bCs/>
          <w:b/>
        </w:rPr>
        <w:t xml:space="preserve">China Electricity Grid Mix Emission Factor:</w:t>
      </w:r>
      <w:r>
        <w:t xml:space="preserve"> </w:t>
      </w:r>
      <w:r>
        <w:t xml:space="preserve">0.56 kg CO2e/kWh (2024 average)</w:t>
      </w:r>
    </w:p>
    <w:p>
      <w:pPr>
        <w:numPr>
          <w:ilvl w:val="0"/>
          <w:numId w:val="1002"/>
        </w:numPr>
        <w:pStyle w:val="Compact"/>
      </w:pPr>
      <w:r>
        <w:rPr>
          <w:bCs/>
          <w:b/>
        </w:rPr>
        <w:t xml:space="preserve">Direct emissions (Scope 1):</w:t>
      </w:r>
      <w:r>
        <w:t xml:space="preserve"> </w:t>
      </w:r>
      <w:r>
        <w:t xml:space="preserve">Minor on-site fuel consumption (e.g., for heating or emergency generators) is accounted for with an illustrative factor.</w:t>
      </w:r>
    </w:p>
    <w:bookmarkEnd w:id="32"/>
    <w:bookmarkStart w:id="33" w:name="X1648ea01baf475240398873249eda66cf3c5f49"/>
    <w:p>
      <w:pPr>
        <w:pStyle w:val="Heading3"/>
      </w:pPr>
      <w:r>
        <w:t xml:space="preserve">c. Transport to Customer (Scope 3 - Downstream)</w:t>
      </w:r>
    </w:p>
    <w:p>
      <w:pPr>
        <w:pStyle w:val="FirstParagraph"/>
      </w:pPr>
      <w:r>
        <w:t xml:space="preserve">This stage includes the transportation of the finished product from the factory gate in China to the customer, focusing on the European market.</w:t>
      </w:r>
    </w:p>
    <w:p>
      <w:pPr>
        <w:numPr>
          <w:ilvl w:val="0"/>
          <w:numId w:val="1003"/>
        </w:numPr>
        <w:pStyle w:val="Compact"/>
      </w:pPr>
      <w:r>
        <w:rPr>
          <w:bCs/>
          <w:b/>
        </w:rPr>
        <w:t xml:space="preserve">Product Weight:</w:t>
      </w:r>
      <w:r>
        <w:t xml:space="preserve"> </w:t>
      </w:r>
      <w:r>
        <w:t xml:space="preserve">1.62 kg (Total material mass from BOM).</w:t>
      </w:r>
    </w:p>
    <w:p>
      <w:pPr>
        <w:numPr>
          <w:ilvl w:val="0"/>
          <w:numId w:val="1003"/>
        </w:numPr>
        <w:pStyle w:val="Compact"/>
      </w:pPr>
      <w:r>
        <w:rPr>
          <w:bCs/>
          <w:b/>
        </w:rPr>
        <w:t xml:space="preserve">Main Transport Mode:</w:t>
      </w:r>
      <w:r>
        <w:t xml:space="preserve"> </w:t>
      </w:r>
      <w:r>
        <w:t xml:space="preserve">Select Mode (assumed to be Ocean Freight - Container Ship)</w:t>
      </w:r>
    </w:p>
    <w:p>
      <w:pPr>
        <w:numPr>
          <w:ilvl w:val="0"/>
          <w:numId w:val="1003"/>
        </w:numPr>
        <w:pStyle w:val="Compact"/>
      </w:pPr>
      <w:r>
        <w:rPr>
          <w:bCs/>
          <w:b/>
        </w:rPr>
        <w:t xml:space="preserve">Transport Distance:</w:t>
      </w:r>
      <w:r>
        <w:t xml:space="preserve"> </w:t>
      </w:r>
      <w:r>
        <w:t xml:space="preserve">ntslqmfwiz (15,000 km)</w:t>
      </w:r>
    </w:p>
    <w:p>
      <w:pPr>
        <w:numPr>
          <w:ilvl w:val="0"/>
          <w:numId w:val="1003"/>
        </w:numPr>
        <w:pStyle w:val="Compact"/>
      </w:pPr>
      <w:r>
        <w:rPr>
          <w:bCs/>
          <w:b/>
        </w:rPr>
        <w:t xml:space="preserve">Ocean Freight Emission Factor:</w:t>
      </w:r>
      <w:r>
        <w:t xml:space="preserve"> </w:t>
      </w:r>
      <w:r>
        <w:t xml:space="preserve">0.005 kg CO2e/tonne-km (based on DEFRA for deep-sea tankers)</w:t>
      </w:r>
    </w:p>
    <w:p>
      <w:pPr>
        <w:numPr>
          <w:ilvl w:val="0"/>
          <w:numId w:val="1003"/>
        </w:numPr>
        <w:pStyle w:val="Compact"/>
      </w:pPr>
      <w:r>
        <w:rPr>
          <w:bCs/>
          <w:b/>
        </w:rPr>
        <w:t xml:space="preserve">Last-Mile Delivery Channel:</w:t>
      </w:r>
      <w:r>
        <w:t xml:space="preserve"> </w:t>
      </w:r>
      <w:r>
        <w:t xml:space="preserve">Delivery Type (assumed to be Road - Light Commercial Vehicle)</w:t>
      </w:r>
    </w:p>
    <w:p>
      <w:pPr>
        <w:numPr>
          <w:ilvl w:val="0"/>
          <w:numId w:val="1003"/>
        </w:numPr>
        <w:pStyle w:val="Compact"/>
      </w:pPr>
      <w:r>
        <w:rPr>
          <w:bCs/>
          <w:b/>
        </w:rPr>
        <w:t xml:space="preserve">Last-Mile Distance (illustrative):</w:t>
      </w:r>
      <w:r>
        <w:t xml:space="preserve"> </w:t>
      </w:r>
      <w:r>
        <w:t xml:space="preserve">50 km (within Europe)</w:t>
      </w:r>
    </w:p>
    <w:p>
      <w:pPr>
        <w:numPr>
          <w:ilvl w:val="0"/>
          <w:numId w:val="1003"/>
        </w:numPr>
        <w:pStyle w:val="Compact"/>
      </w:pPr>
      <w:r>
        <w:rPr>
          <w:bCs/>
          <w:b/>
        </w:rPr>
        <w:t xml:space="preserve">Road Transport Emission Factor:</w:t>
      </w:r>
      <w:r>
        <w:t xml:space="preserve"> </w:t>
      </w:r>
      <w:r>
        <w:t xml:space="preserve">0.062 kg CO2e/tonne-km (average for road transport operations)</w:t>
      </w:r>
    </w:p>
    <w:bookmarkEnd w:id="33"/>
    <w:bookmarkStart w:id="34" w:name="d.-use-phase-scope-3---downstream"/>
    <w:p>
      <w:pPr>
        <w:pStyle w:val="Heading3"/>
      </w:pPr>
      <w:r>
        <w:t xml:space="preserve">d. Use Phase (Scope 3 - Downstream)</w:t>
      </w:r>
    </w:p>
    <w:p>
      <w:pPr>
        <w:pStyle w:val="FirstParagraph"/>
      </w:pPr>
      <w:r>
        <w:t xml:space="preserve">This phase considers the energy consumption of ngqyezkzmi during its operational lifespan by the end-user.</w:t>
      </w:r>
    </w:p>
    <w:p>
      <w:pPr>
        <w:numPr>
          <w:ilvl w:val="0"/>
          <w:numId w:val="1004"/>
        </w:numPr>
        <w:pStyle w:val="Compact"/>
      </w:pPr>
      <w:r>
        <w:rPr>
          <w:bCs/>
          <w:b/>
        </w:rPr>
        <w:t xml:space="preserve">Product Lifespan:</w:t>
      </w:r>
      <w:r>
        <w:t xml:space="preserve"> </w:t>
      </w:r>
      <w:r>
        <w:t xml:space="preserve">jdzikpiwwe (5 years)</w:t>
      </w:r>
    </w:p>
    <w:p>
      <w:pPr>
        <w:numPr>
          <w:ilvl w:val="0"/>
          <w:numId w:val="1004"/>
        </w:numPr>
        <w:pStyle w:val="Compact"/>
      </w:pPr>
      <w:r>
        <w:rPr>
          <w:bCs/>
          <w:b/>
        </w:rPr>
        <w:t xml:space="preserve">Energy Consumption in Use:</w:t>
      </w:r>
      <w:r>
        <w:t xml:space="preserve"> </w:t>
      </w:r>
      <w:r>
        <w:t xml:space="preserve">ksfvfgrdrw (10 kWh/year)</w:t>
      </w:r>
    </w:p>
    <w:p>
      <w:pPr>
        <w:numPr>
          <w:ilvl w:val="0"/>
          <w:numId w:val="1004"/>
        </w:numPr>
        <w:pStyle w:val="Compact"/>
      </w:pPr>
      <w:r>
        <w:rPr>
          <w:bCs/>
          <w:b/>
        </w:rPr>
        <w:t xml:space="preserve">Total Energy Consumption over Lifespan:</w:t>
      </w:r>
      <w:r>
        <w:t xml:space="preserve"> </w:t>
      </w:r>
      <w:r>
        <w:t xml:space="preserve">50 kWh</w:t>
      </w:r>
    </w:p>
    <w:p>
      <w:pPr>
        <w:numPr>
          <w:ilvl w:val="0"/>
          <w:numId w:val="1004"/>
        </w:numPr>
        <w:pStyle w:val="Compact"/>
      </w:pPr>
      <w:r>
        <w:rPr>
          <w:bCs/>
          <w:b/>
        </w:rPr>
        <w:t xml:space="preserve">European Average Electricity Grid Mix Emission Factor:</w:t>
      </w:r>
      <w:r>
        <w:t xml:space="preserve"> </w:t>
      </w:r>
      <w:r>
        <w:t xml:space="preserve">0.200 kg CO2e/kWh (2025 EU average)</w:t>
      </w:r>
    </w:p>
    <w:bookmarkEnd w:id="34"/>
    <w:bookmarkStart w:id="35" w:name="e.-end-of-life-eol-scope-3---downstream"/>
    <w:p>
      <w:pPr>
        <w:pStyle w:val="Heading3"/>
      </w:pPr>
      <w:r>
        <w:t xml:space="preserve">e. End-of-Life (EoL) (Scope 3 - Downstream)</w:t>
      </w:r>
    </w:p>
    <w:p>
      <w:pPr>
        <w:pStyle w:val="FirstParagraph"/>
      </w:pPr>
      <w:r>
        <w:t xml:space="preserve">This stage accounts for the emissions associated with the disposal and recycling of ngqyezkzmi at the end of its life.</w:t>
      </w:r>
    </w:p>
    <w:p>
      <w:pPr>
        <w:numPr>
          <w:ilvl w:val="0"/>
          <w:numId w:val="1005"/>
        </w:numPr>
        <w:pStyle w:val="Compact"/>
      </w:pPr>
      <w:r>
        <w:rPr>
          <w:bCs/>
          <w:b/>
        </w:rPr>
        <w:t xml:space="preserve">Product Mass for EoL:</w:t>
      </w:r>
      <w:r>
        <w:t xml:space="preserve"> </w:t>
      </w:r>
      <w:r>
        <w:t xml:space="preserve">1.62 kg</w:t>
      </w:r>
    </w:p>
    <w:p>
      <w:pPr>
        <w:numPr>
          <w:ilvl w:val="0"/>
          <w:numId w:val="1005"/>
        </w:numPr>
        <w:pStyle w:val="Compact"/>
      </w:pPr>
      <w:r>
        <w:rPr>
          <w:bCs/>
          <w:b/>
        </w:rPr>
        <w:t xml:space="preserve">Recyclability Percentage:</w:t>
      </w:r>
      <w:r>
        <w:t xml:space="preserve"> </w:t>
      </w:r>
      <w:r>
        <w:t xml:space="preserve">tudevnnehk (80%)</w:t>
      </w:r>
    </w:p>
    <w:p>
      <w:pPr>
        <w:numPr>
          <w:ilvl w:val="0"/>
          <w:numId w:val="1005"/>
        </w:numPr>
        <w:pStyle w:val="Compact"/>
      </w:pPr>
      <w:r>
        <w:rPr>
          <w:bCs/>
          <w:b/>
        </w:rPr>
        <w:t xml:space="preserve">Circular/Take-back Programs:</w:t>
      </w:r>
      <w:r>
        <w:t xml:space="preserve"> </w:t>
      </w:r>
      <w:r>
        <w:t xml:space="preserve">qfsdykkuyk (Yes, implying effective collection and processing)</w:t>
      </w:r>
    </w:p>
    <w:p>
      <w:pPr>
        <w:numPr>
          <w:ilvl w:val="0"/>
          <w:numId w:val="1005"/>
        </w:numPr>
        <w:pStyle w:val="Compact"/>
      </w:pPr>
      <w:r>
        <w:t xml:space="preserve">For the 80% recycled portion, a net-zero impact or credit is assumed, reflecting the displacement of virgin material production through robust circular economy programs.</w:t>
      </w:r>
    </w:p>
    <w:p>
      <w:pPr>
        <w:numPr>
          <w:ilvl w:val="0"/>
          <w:numId w:val="1005"/>
        </w:numPr>
        <w:pStyle w:val="Compact"/>
      </w:pPr>
      <w:r>
        <w:t xml:space="preserve">For the 20% non-recycled portion (landfill/incineration), an illustrative emission factor of 0.5 kg CO2e/kg is applied, acknowledging the variability across different material types and disposal methods.</w:t>
      </w:r>
    </w:p>
    <w:p>
      <w:r>
        <w:pict>
          <v:rect style="width:0;height:1.5pt" o:hralign="center" o:hrstd="t" o:hr="t"/>
        </w:pict>
      </w:r>
    </w:p>
    <w:bookmarkEnd w:id="35"/>
    <w:bookmarkEnd w:id="36"/>
    <w:bookmarkStart w:id="44" w:name="X84905863ad58caa81b83ef66a0ea955e601672a"/>
    <w:p>
      <w:pPr>
        <w:pStyle w:val="Heading2"/>
      </w:pPr>
      <w:r>
        <w:t xml:space="preserve">4. Emission Calculations (Activity * Emission Factor = CO2e)</w:t>
      </w:r>
    </w:p>
    <w:p>
      <w:pPr>
        <w:pStyle w:val="FirstParagraph"/>
      </w:pPr>
      <w:r>
        <w:t xml:space="preserve">Emissions are calculated for each stage based on collected activity data and industry-standard emission factors (e.g., Ecoinvent/DEFRA equivalents).</w:t>
      </w:r>
    </w:p>
    <w:bookmarkStart w:id="37" w:name="X7c814733ffd5f5a9648380d1c29b283b71f4529"/>
    <w:p>
      <w:pPr>
        <w:pStyle w:val="Heading3"/>
      </w:pPr>
      <w:r>
        <w:t xml:space="preserve">a. Material Acquisition &amp; Pre-processing (Scope 3 - Upstream)</w:t>
      </w:r>
    </w:p>
    <w:p>
      <w:pPr>
        <w:pStyle w:val="FirstParagraph"/>
      </w:pPr>
      <w:r>
        <w:t xml:space="preserve">The total carbon for this stage is directly taken from the sum of the "Total Carbon" column in the Detailed Bill of Materials (BOM), as these values are provided per unit.</w:t>
      </w:r>
    </w:p>
    <w:p>
      <w:pPr>
        <w:pStyle w:val="BodyText"/>
      </w:pPr>
      <w:r>
        <w:rPr>
          <w:bCs/>
          <w:b/>
        </w:rPr>
        <w:t xml:space="preserve">Emissions: 20.04 kg CO2e/unit</w:t>
      </w:r>
    </w:p>
    <w:bookmarkEnd w:id="37"/>
    <w:bookmarkStart w:id="38" w:name="b.-production-manufacturing"/>
    <w:p>
      <w:pPr>
        <w:pStyle w:val="Heading3"/>
      </w:pPr>
      <w:r>
        <w:t xml:space="preserve">b. Production (Manufacturing)</w:t>
      </w:r>
    </w:p>
    <w:p>
      <w:pPr>
        <w:pStyle w:val="FirstParagraph"/>
      </w:pPr>
      <w:r>
        <w:rPr>
          <w:bCs/>
          <w:b/>
        </w:rPr>
        <w:t xml:space="preserve">Scope 1 (Direct Emissions):</w:t>
      </w:r>
      <w:r>
        <w:t xml:space="preserve"> </w:t>
      </w:r>
      <w:r>
        <w:t xml:space="preserve">Emissions from on-site fuel combustion or processes directly controlled by vjwngzhptt.</w:t>
      </w:r>
    </w:p>
    <w:p>
      <w:pPr>
        <w:numPr>
          <w:ilvl w:val="0"/>
          <w:numId w:val="1006"/>
        </w:numPr>
        <w:pStyle w:val="Compact"/>
      </w:pPr>
      <w:r>
        <w:t xml:space="preserve">Assuming minor direct emissions from factory operations for simplicity (e.g., maintenance equipment, small-scale heating).</w:t>
      </w:r>
    </w:p>
    <w:p>
      <w:pPr>
        <w:numPr>
          <w:ilvl w:val="0"/>
          <w:numId w:val="1006"/>
        </w:numPr>
        <w:pStyle w:val="Compact"/>
      </w:pPr>
      <w:r>
        <w:rPr>
          <w:bCs/>
          <w:b/>
        </w:rPr>
        <w:t xml:space="preserve">Emissions: 0.01 kg CO2e/unit (Illustrative)</w:t>
      </w:r>
    </w:p>
    <w:p>
      <w:pPr>
        <w:pStyle w:val="FirstParagraph"/>
      </w:pPr>
      <w:r>
        <w:rPr>
          <w:bCs/>
          <w:b/>
        </w:rPr>
        <w:t xml:space="preserve">Scope 2 (Purchased Energy Emissions):</w:t>
      </w:r>
      <w:r>
        <w:t xml:space="preserve"> </w:t>
      </w:r>
      <w:r>
        <w:t xml:space="preserve">Indirect emissions from the generation of purchased electricity for manufacturing.</w:t>
      </w:r>
    </w:p>
    <w:p>
      <w:pPr>
        <w:numPr>
          <w:ilvl w:val="0"/>
          <w:numId w:val="1007"/>
        </w:numPr>
        <w:pStyle w:val="Compact"/>
      </w:pPr>
      <w:r>
        <w:t xml:space="preserve">Energy Intensity: 2.5 kWh/unit</w:t>
      </w:r>
    </w:p>
    <w:p>
      <w:pPr>
        <w:numPr>
          <w:ilvl w:val="0"/>
          <w:numId w:val="1007"/>
        </w:numPr>
        <w:pStyle w:val="Compact"/>
      </w:pPr>
      <w:r>
        <w:t xml:space="preserve">Renewable Energy Usage: 75%</w:t>
      </w:r>
    </w:p>
    <w:p>
      <w:pPr>
        <w:numPr>
          <w:ilvl w:val="0"/>
          <w:numId w:val="1007"/>
        </w:numPr>
        <w:pStyle w:val="Compact"/>
      </w:pPr>
      <w:r>
        <w:t xml:space="preserve">Non-renewable energy portion: 2.5 kWh/unit * (1 - 0.75) = 0.625 kWh/unit</w:t>
      </w:r>
    </w:p>
    <w:p>
      <w:pPr>
        <w:numPr>
          <w:ilvl w:val="0"/>
          <w:numId w:val="1007"/>
        </w:numPr>
        <w:pStyle w:val="Compact"/>
      </w:pPr>
      <w:r>
        <w:t xml:space="preserve">China Electricity Grid Mix Emission Factor: 0.56 kg CO2e/kWh</w:t>
      </w:r>
    </w:p>
    <w:p>
      <w:pPr>
        <w:numPr>
          <w:ilvl w:val="0"/>
          <w:numId w:val="1007"/>
        </w:numPr>
        <w:pStyle w:val="Compact"/>
      </w:pPr>
      <w:r>
        <w:rPr>
          <w:bCs/>
          <w:b/>
        </w:rPr>
        <w:t xml:space="preserve">Emissions:</w:t>
      </w:r>
      <w:r>
        <w:t xml:space="preserve"> </w:t>
      </w:r>
      <w:r>
        <w:t xml:space="preserve">0.625 kWh/unit * 0.56 kg CO2e/kWh =</w:t>
      </w:r>
      <w:r>
        <w:t xml:space="preserve"> </w:t>
      </w:r>
      <w:r>
        <w:rPr>
          <w:bCs/>
          <w:b/>
        </w:rPr>
        <w:t xml:space="preserve">0.35 kg CO2e/unit</w:t>
      </w:r>
    </w:p>
    <w:bookmarkEnd w:id="38"/>
    <w:bookmarkStart w:id="39" w:name="Xc46ef362a3ed061b067863c8404070f507a7829"/>
    <w:p>
      <w:pPr>
        <w:pStyle w:val="Heading3"/>
      </w:pPr>
      <w:r>
        <w:t xml:space="preserve">c. Transport to Customer (Scope 3 - Downstream)</w:t>
      </w:r>
    </w:p>
    <w:p>
      <w:pPr>
        <w:pStyle w:val="FirstParagraph"/>
      </w:pPr>
      <w:r>
        <w:t xml:space="preserve">Emissions from shipping the finished product to the customer.</w:t>
      </w:r>
    </w:p>
    <w:p>
      <w:pPr>
        <w:numPr>
          <w:ilvl w:val="0"/>
          <w:numId w:val="1008"/>
        </w:numPr>
        <w:pStyle w:val="Compact"/>
      </w:pPr>
      <w:r>
        <w:rPr>
          <w:bCs/>
          <w:b/>
        </w:rPr>
        <w:t xml:space="preserve">Product Weight:</w:t>
      </w:r>
      <w:r>
        <w:t xml:space="preserve"> </w:t>
      </w:r>
      <w:r>
        <w:t xml:space="preserve">1.62 kg</w:t>
      </w:r>
    </w:p>
    <w:p>
      <w:pPr>
        <w:numPr>
          <w:ilvl w:val="0"/>
          <w:numId w:val="1008"/>
        </w:numPr>
        <w:pStyle w:val="Compact"/>
      </w:pPr>
      <w:r>
        <w:rPr>
          <w:bCs/>
          <w:b/>
        </w:rPr>
        <w:t xml:space="preserve">Ocean Freight (China to Europe):</w:t>
      </w:r>
    </w:p>
    <w:p>
      <w:pPr>
        <w:numPr>
          <w:ilvl w:val="0"/>
          <w:numId w:val="1008"/>
        </w:numPr>
        <w:pStyle w:val="Compact"/>
      </w:pPr>
    </w:p>
    <w:p>
      <w:pPr>
        <w:numPr>
          <w:ilvl w:val="1"/>
          <w:numId w:val="1009"/>
        </w:numPr>
        <w:pStyle w:val="Compact"/>
      </w:pPr>
      <w:r>
        <w:t xml:space="preserve">Distance: 15,000 km</w:t>
      </w:r>
    </w:p>
    <w:p>
      <w:pPr>
        <w:numPr>
          <w:ilvl w:val="1"/>
          <w:numId w:val="1009"/>
        </w:numPr>
        <w:pStyle w:val="Compact"/>
      </w:pPr>
      <w:r>
        <w:t xml:space="preserve">Emission Factor: 0.005 kg CO2e/tonne-km</w:t>
      </w:r>
    </w:p>
    <w:p>
      <w:pPr>
        <w:numPr>
          <w:ilvl w:val="1"/>
          <w:numId w:val="1009"/>
        </w:numPr>
        <w:pStyle w:val="Compact"/>
      </w:pPr>
      <w:r>
        <w:t xml:space="preserve">Emissions: (1.62 kg / 1000 kg/tonne) * 15,000 km * 0.005 kg CO2e/tonne-km =</w:t>
      </w:r>
      <w:r>
        <w:t xml:space="preserve"> </w:t>
      </w:r>
      <w:r>
        <w:rPr>
          <w:bCs/>
          <w:b/>
        </w:rPr>
        <w:t xml:space="preserve">0.1215 kg CO2e/unit</w:t>
      </w:r>
    </w:p>
    <w:p>
      <w:pPr>
        <w:numPr>
          <w:ilvl w:val="0"/>
          <w:numId w:val="1008"/>
        </w:numPr>
        <w:pStyle w:val="Compact"/>
      </w:pPr>
      <w:r>
        <w:rPr>
          <w:bCs/>
          <w:b/>
        </w:rPr>
        <w:t xml:space="preserve">Last-Mile Delivery (Road in Europe):</w:t>
      </w:r>
    </w:p>
    <w:p>
      <w:pPr>
        <w:numPr>
          <w:ilvl w:val="0"/>
          <w:numId w:val="1008"/>
        </w:numPr>
        <w:pStyle w:val="Compact"/>
      </w:pPr>
    </w:p>
    <w:p>
      <w:pPr>
        <w:numPr>
          <w:ilvl w:val="1"/>
          <w:numId w:val="1010"/>
        </w:numPr>
        <w:pStyle w:val="Compact"/>
      </w:pPr>
      <w:r>
        <w:t xml:space="preserve">Distance: 50 km (illustrative)</w:t>
      </w:r>
    </w:p>
    <w:p>
      <w:pPr>
        <w:numPr>
          <w:ilvl w:val="1"/>
          <w:numId w:val="1010"/>
        </w:numPr>
        <w:pStyle w:val="Compact"/>
      </w:pPr>
      <w:r>
        <w:t xml:space="preserve">Emission Factor: 0.062 kg CO2e/tonne-km</w:t>
      </w:r>
    </w:p>
    <w:p>
      <w:pPr>
        <w:numPr>
          <w:ilvl w:val="1"/>
          <w:numId w:val="1010"/>
        </w:numPr>
        <w:pStyle w:val="Compact"/>
      </w:pPr>
      <w:r>
        <w:t xml:space="preserve">Emissions: (1.62 kg / 1000 kg/tonne) * 50 km * 0.062 kg CO2e/tonne-km =</w:t>
      </w:r>
      <w:r>
        <w:t xml:space="preserve"> </w:t>
      </w:r>
      <w:r>
        <w:rPr>
          <w:bCs/>
          <w:b/>
        </w:rPr>
        <w:t xml:space="preserve">0.0050 kg CO2e/unit</w:t>
      </w:r>
    </w:p>
    <w:p>
      <w:pPr>
        <w:numPr>
          <w:ilvl w:val="0"/>
          <w:numId w:val="1008"/>
        </w:numPr>
        <w:pStyle w:val="Compact"/>
      </w:pPr>
      <w:r>
        <w:rPr>
          <w:bCs/>
          <w:b/>
        </w:rPr>
        <w:t xml:space="preserve">Total Transport Emissions: 0.1215 + 0.0050 = 0.1265 kg CO2e/unit</w:t>
      </w:r>
    </w:p>
    <w:bookmarkEnd w:id="39"/>
    <w:bookmarkStart w:id="40" w:name="d.-use-phase-scope-3---downstream-1"/>
    <w:p>
      <w:pPr>
        <w:pStyle w:val="Heading3"/>
      </w:pPr>
      <w:r>
        <w:t xml:space="preserve">d. Use Phase (Scope 3 - Downstream)</w:t>
      </w:r>
    </w:p>
    <w:p>
      <w:pPr>
        <w:pStyle w:val="FirstParagraph"/>
      </w:pPr>
      <w:r>
        <w:t xml:space="preserve">Emissions from electricity consumption during the product\'s lifespan.</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Energy Consumption: 5 years * 10 kWh/year = 50 kWh/unit</w:t>
      </w:r>
    </w:p>
    <w:p>
      <w:pPr>
        <w:numPr>
          <w:ilvl w:val="0"/>
          <w:numId w:val="1011"/>
        </w:numPr>
        <w:pStyle w:val="Compact"/>
      </w:pPr>
      <w:r>
        <w:t xml:space="preserve">European Average Electricity Grid Mix Emission Factor: 0.200 kg CO2e/kWh</w:t>
      </w:r>
    </w:p>
    <w:p>
      <w:pPr>
        <w:numPr>
          <w:ilvl w:val="0"/>
          <w:numId w:val="1011"/>
        </w:numPr>
        <w:pStyle w:val="Compact"/>
      </w:pPr>
      <w:r>
        <w:rPr>
          <w:bCs/>
          <w:b/>
        </w:rPr>
        <w:t xml:space="preserve">Emissions:</w:t>
      </w:r>
      <w:r>
        <w:t xml:space="preserve"> </w:t>
      </w:r>
      <w:r>
        <w:t xml:space="preserve">50 kWh/unit * 0.200 kg CO2e/kWh =</w:t>
      </w:r>
      <w:r>
        <w:t xml:space="preserve"> </w:t>
      </w:r>
      <w:r>
        <w:rPr>
          <w:bCs/>
          <w:b/>
        </w:rPr>
        <w:t xml:space="preserve">10.0 kg CO2e/unit</w:t>
      </w:r>
    </w:p>
    <w:bookmarkEnd w:id="40"/>
    <w:bookmarkStart w:id="41" w:name="Xb3a4c4e47a1fcafac9d54a44a85a4964439657d"/>
    <w:p>
      <w:pPr>
        <w:pStyle w:val="Heading3"/>
      </w:pPr>
      <w:r>
        <w:t xml:space="preserve">e. End-of-Life (EoL) (Scope 3 - Downstream)</w:t>
      </w:r>
    </w:p>
    <w:p>
      <w:pPr>
        <w:pStyle w:val="FirstParagraph"/>
      </w:pPr>
      <w:r>
        <w:t xml:space="preserve">Emissions and potential credits from waste treatment.</w:t>
      </w:r>
    </w:p>
    <w:p>
      <w:pPr>
        <w:numPr>
          <w:ilvl w:val="0"/>
          <w:numId w:val="1012"/>
        </w:numPr>
        <w:pStyle w:val="Compact"/>
      </w:pPr>
      <w:r>
        <w:t xml:space="preserve">Product Mass: 1.62 kg</w:t>
      </w:r>
    </w:p>
    <w:p>
      <w:pPr>
        <w:numPr>
          <w:ilvl w:val="0"/>
          <w:numId w:val="1012"/>
        </w:numPr>
        <w:pStyle w:val="Compact"/>
      </w:pPr>
      <w:r>
        <w:t xml:space="preserve">Recyclability Percentage: 80%</w:t>
      </w:r>
    </w:p>
    <w:p>
      <w:pPr>
        <w:numPr>
          <w:ilvl w:val="0"/>
          <w:numId w:val="1012"/>
        </w:numPr>
        <w:pStyle w:val="Compact"/>
      </w:pPr>
      <w:r>
        <w:t xml:space="preserve">Non-recycled portion: 1.62 kg * (1 - 0.80) = 0.324 kg</w:t>
      </w:r>
    </w:p>
    <w:p>
      <w:pPr>
        <w:numPr>
          <w:ilvl w:val="0"/>
          <w:numId w:val="1012"/>
        </w:numPr>
        <w:pStyle w:val="Compact"/>
      </w:pPr>
      <w:r>
        <w:t xml:space="preserve">Illustrative EoL Emission Factor (for non-recycled portion): 0.5 kg CO2e/kg (simplified average for mixed waste to landfill/incineration)</w:t>
      </w:r>
    </w:p>
    <w:p>
      <w:pPr>
        <w:numPr>
          <w:ilvl w:val="0"/>
          <w:numId w:val="1012"/>
        </w:numPr>
        <w:pStyle w:val="Compact"/>
      </w:pPr>
      <w:r>
        <w:rPr>
          <w:bCs/>
          <w:b/>
        </w:rPr>
        <w:t xml:space="preserve">Emissions:</w:t>
      </w:r>
      <w:r>
        <w:t xml:space="preserve"> </w:t>
      </w:r>
      <w:r>
        <w:t xml:space="preserve">0.324 kg * 0.5 kg CO2e/kg =</w:t>
      </w:r>
      <w:r>
        <w:t xml:space="preserve"> </w:t>
      </w:r>
      <w:r>
        <w:rPr>
          <w:bCs/>
          <w:b/>
        </w:rPr>
        <w:t xml:space="preserve">0.162 kg CO2e/unit</w:t>
      </w:r>
    </w:p>
    <w:p>
      <w:pPr>
        <w:numPr>
          <w:ilvl w:val="0"/>
          <w:numId w:val="1012"/>
        </w:numPr>
        <w:pStyle w:val="Compact"/>
      </w:pPr>
      <w:r>
        <w:t xml:space="preserve">For the 80% recycled portion, it is assumed that the recycling process, supported by circular/take-back programs, effectively displaces virgin material production, resulting in a net avoided emission or near-zero impact for this calculation.</w:t>
      </w:r>
    </w:p>
    <w:bookmarkEnd w:id="41"/>
    <w:bookmarkStart w:id="42"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Description</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20.04</w:t>
            </w:r>
          </w:p>
        </w:tc>
        <w:tc>
          <w:tcPr/>
          <w:p>
            <w:pPr>
              <w:pStyle w:val="Compact"/>
              <w:jc w:val="left"/>
            </w:pPr>
            <w:r>
              <w:t xml:space="preserve">Emissions from raw material extraction, processing, and component manufacturing.</w:t>
            </w:r>
          </w:p>
        </w:tc>
      </w:tr>
      <w:tr>
        <w:tc>
          <w:tcPr/>
          <w:p>
            <w:pPr>
              <w:pStyle w:val="Compact"/>
              <w:jc w:val="left"/>
            </w:pPr>
            <w:r>
              <w:t xml:space="preserve">Production (Scope 1)</w:t>
            </w:r>
          </w:p>
        </w:tc>
        <w:tc>
          <w:tcPr/>
          <w:p>
            <w:pPr>
              <w:pStyle w:val="Compact"/>
              <w:jc w:val="left"/>
            </w:pPr>
            <w:r>
              <w:t xml:space="preserve">Scope 1 (Direct)</w:t>
            </w:r>
          </w:p>
        </w:tc>
        <w:tc>
          <w:tcPr/>
          <w:p>
            <w:pPr>
              <w:pStyle w:val="Compact"/>
              <w:jc w:val="left"/>
            </w:pPr>
            <w:r>
              <w:t xml:space="preserve">0.01</w:t>
            </w:r>
          </w:p>
        </w:tc>
        <w:tc>
          <w:tcPr/>
          <w:p>
            <w:pPr>
              <w:pStyle w:val="Compact"/>
              <w:jc w:val="left"/>
            </w:pPr>
            <w:r>
              <w:t xml:space="preserve">Direct emissions from factory operations (e.g., on-site fuel).</w:t>
            </w:r>
          </w:p>
        </w:tc>
      </w:tr>
      <w:tr>
        <w:tc>
          <w:tcPr/>
          <w:p>
            <w:pPr>
              <w:pStyle w:val="Compact"/>
              <w:jc w:val="left"/>
            </w:pPr>
            <w:r>
              <w:t xml:space="preserve">Production (Scope 2)</w:t>
            </w:r>
          </w:p>
        </w:tc>
        <w:tc>
          <w:tcPr/>
          <w:p>
            <w:pPr>
              <w:pStyle w:val="Compact"/>
              <w:jc w:val="left"/>
            </w:pPr>
            <w:r>
              <w:t xml:space="preserve">Scope 2 (Purchased Energy)</w:t>
            </w:r>
          </w:p>
        </w:tc>
        <w:tc>
          <w:tcPr/>
          <w:p>
            <w:pPr>
              <w:pStyle w:val="Compact"/>
              <w:jc w:val="left"/>
            </w:pPr>
            <w:r>
              <w:t xml:space="preserve">0.35</w:t>
            </w:r>
          </w:p>
        </w:tc>
        <w:tc>
          <w:tcPr/>
          <w:p>
            <w:pPr>
              <w:pStyle w:val="Compact"/>
              <w:jc w:val="left"/>
            </w:pPr>
            <w:r>
              <w:t xml:space="preserve">Indirect emissions from purchased electricity for manufacturing in China.</w:t>
            </w:r>
          </w:p>
        </w:tc>
      </w:tr>
      <w:tr>
        <w:tc>
          <w:tcPr/>
          <w:p>
            <w:pPr>
              <w:pStyle w:val="Compact"/>
              <w:jc w:val="left"/>
            </w:pPr>
            <w:r>
              <w:t xml:space="preserve">Transport to Customer</w:t>
            </w:r>
          </w:p>
        </w:tc>
        <w:tc>
          <w:tcPr/>
          <w:p>
            <w:pPr>
              <w:pStyle w:val="Compact"/>
              <w:jc w:val="left"/>
            </w:pPr>
            <w:r>
              <w:t xml:space="preserve">Scope 3 (Downstream)</w:t>
            </w:r>
          </w:p>
        </w:tc>
        <w:tc>
          <w:tcPr/>
          <w:p>
            <w:pPr>
              <w:pStyle w:val="Compact"/>
              <w:jc w:val="left"/>
            </w:pPr>
            <w:r>
              <w:t xml:space="preserve">0.13</w:t>
            </w:r>
          </w:p>
        </w:tc>
        <w:tc>
          <w:tcPr/>
          <w:p>
            <w:pPr>
              <w:pStyle w:val="Compact"/>
              <w:jc w:val="left"/>
            </w:pPr>
            <w:r>
              <w:t xml:space="preserve">Emissions from shipping product from China to customer in Europe, including last-mile.</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10.00</w:t>
            </w:r>
          </w:p>
        </w:tc>
        <w:tc>
          <w:tcPr/>
          <w:p>
            <w:pPr>
              <w:pStyle w:val="Compact"/>
              <w:jc w:val="left"/>
            </w:pPr>
            <w:r>
              <w:t xml:space="preserve">Emissions from electricity consumption during product use over its lifespan.</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0.16</w:t>
            </w:r>
          </w:p>
        </w:tc>
        <w:tc>
          <w:tcPr/>
          <w:p>
            <w:pPr>
              <w:pStyle w:val="Compact"/>
              <w:jc w:val="left"/>
            </w:pPr>
            <w:r>
              <w:t xml:space="preserve">Emissions from non-recycled waste treatment; recycling impacts assumed neutral/credit.</w:t>
            </w:r>
          </w:p>
        </w:tc>
      </w:tr>
    </w:tbl>
    <w:bookmarkEnd w:id="42"/>
    <w:bookmarkStart w:id="43" w:name="total-product-carbon-footprint"/>
    <w:p>
      <w:pPr>
        <w:pStyle w:val="Heading3"/>
      </w:pPr>
      <w:r>
        <w:t xml:space="preserve">Total Product Carbon Footprint</w:t>
      </w:r>
    </w:p>
    <w:p>
      <w:pPr>
        <w:numPr>
          <w:ilvl w:val="0"/>
          <w:numId w:val="1013"/>
        </w:numPr>
        <w:pStyle w:val="Compact"/>
      </w:pPr>
      <w:r>
        <w:rPr>
          <w:bCs/>
          <w:b/>
        </w:rPr>
        <w:t xml:space="preserve">Total Cradle-to-Gate PCF (Factory Gate Boundary):</w:t>
      </w:r>
    </w:p>
    <w:p>
      <w:pPr>
        <w:numPr>
          <w:ilvl w:val="1"/>
          <w:numId w:val="1014"/>
        </w:numPr>
        <w:pStyle w:val="Compact"/>
      </w:pPr>
      <w:r>
        <w:t xml:space="preserve">Sum of Material Acquisition, Production Scope 1, and Production Scope 2.</w:t>
      </w:r>
    </w:p>
    <w:p>
      <w:pPr>
        <w:numPr>
          <w:ilvl w:val="1"/>
          <w:numId w:val="1014"/>
        </w:numPr>
        <w:pStyle w:val="Compact"/>
      </w:pPr>
      <w:r>
        <w:t xml:space="preserve">20.04 kg CO2e + 0.01 kg CO2e + 0.35 kg CO2e =</w:t>
      </w:r>
      <w:r>
        <w:t xml:space="preserve"> </w:t>
      </w:r>
      <w:r>
        <w:rPr>
          <w:bCs/>
          <w:b/>
        </w:rPr>
        <w:t xml:space="preserve">20.40 kg CO2e/unit</w:t>
      </w:r>
    </w:p>
    <w:p>
      <w:pPr>
        <w:numPr>
          <w:ilvl w:val="0"/>
          <w:numId w:val="1013"/>
        </w:numPr>
        <w:pStyle w:val="Compact"/>
      </w:pPr>
      <w:r>
        <w:rPr>
          <w:bCs/>
          <w:b/>
        </w:rPr>
        <w:t xml:space="preserve">Total Cradle-to-Grave PCF (Extended Analysis including Use and EoL):</w:t>
      </w:r>
    </w:p>
    <w:p>
      <w:pPr>
        <w:numPr>
          <w:ilvl w:val="1"/>
          <w:numId w:val="1015"/>
        </w:numPr>
        <w:pStyle w:val="Compact"/>
      </w:pPr>
      <w:r>
        <w:t xml:space="preserve">Sum of all lifecycle stages.</w:t>
      </w:r>
    </w:p>
    <w:p>
      <w:pPr>
        <w:numPr>
          <w:ilvl w:val="1"/>
          <w:numId w:val="1015"/>
        </w:numPr>
        <w:pStyle w:val="Compact"/>
      </w:pPr>
      <w:r>
        <w:t xml:space="preserve">20.40 kg CO2e (Cradle-to-Gate) + 0.13 kg CO2e (Transport) + 10.00 kg CO2e (Use Phase) + 0.16 kg CO2e (EoL) =</w:t>
      </w:r>
      <w:r>
        <w:t xml:space="preserve"> </w:t>
      </w:r>
      <w:r>
        <w:rPr>
          <w:bCs/>
          <w:b/>
        </w:rPr>
        <w:t xml:space="preserve">30.69 kg CO2e/unit</w:t>
      </w:r>
    </w:p>
    <w:p>
      <w:r>
        <w:pict>
          <v:rect style="width:0;height:1.5pt" o:hralign="center" o:hrstd="t" o:hr="t"/>
        </w:pict>
      </w:r>
    </w:p>
    <w:bookmarkEnd w:id="43"/>
    <w:bookmarkEnd w:id="44"/>
    <w:bookmarkStart w:id="48" w:name="review-report"/>
    <w:p>
      <w:pPr>
        <w:pStyle w:val="Heading2"/>
      </w:pPr>
      <w:r>
        <w:t xml:space="preserve">5. Review &amp; Report</w:t>
      </w:r>
    </w:p>
    <w:bookmarkStart w:id="45" w:name="emission-hotspots"/>
    <w:p>
      <w:pPr>
        <w:pStyle w:val="Heading3"/>
      </w:pPr>
      <w:r>
        <w:t xml:space="preserve">Emission Hotspots</w:t>
      </w:r>
    </w:p>
    <w:p>
      <w:pPr>
        <w:pStyle w:val="FirstParagraph"/>
      </w:pPr>
      <w:r>
        <w:t xml:space="preserve">The primary emission hotspots for ngqyezkzmi are:</w:t>
      </w:r>
    </w:p>
    <w:p>
      <w:pPr>
        <w:numPr>
          <w:ilvl w:val="0"/>
          <w:numId w:val="1016"/>
        </w:numPr>
        <w:pStyle w:val="Compact"/>
      </w:pPr>
      <w:r>
        <w:rPr>
          <w:bCs/>
          <w:b/>
        </w:rPr>
        <w:t xml:space="preserve">Material Acquisition &amp; Pre-processing (65.3% of Cradle-to-Grave PCF):</w:t>
      </w:r>
      <w:r>
        <w:t xml:space="preserve"> </w:t>
      </w:r>
      <w:r>
        <w:t xml:space="preserve">The production of raw materials, particularly aluminum and the lithium-ion battery, contributes the largest share of emissions. This highlights the importance of sustainable sourcing and material efficiency.</w:t>
      </w:r>
    </w:p>
    <w:p>
      <w:pPr>
        <w:numPr>
          <w:ilvl w:val="0"/>
          <w:numId w:val="1016"/>
        </w:numPr>
        <w:pStyle w:val="Compact"/>
      </w:pPr>
      <w:r>
        <w:rPr>
          <w:bCs/>
          <w:b/>
        </w:rPr>
        <w:t xml:space="preserve">Use Phase (32.6% of Cradle-to-Grave PCF):</w:t>
      </w:r>
      <w:r>
        <w:t xml:space="preserve"> </w:t>
      </w:r>
      <w:r>
        <w:t xml:space="preserve">Energy consumption during the product\'s 5-year lifespan significantly impacts its overall footprint, despite relatively clean European electricity. Improving energy efficiency of the product is crucial.</w:t>
      </w:r>
    </w:p>
    <w:p>
      <w:pPr>
        <w:numPr>
          <w:ilvl w:val="0"/>
          <w:numId w:val="1016"/>
        </w:numPr>
        <w:pStyle w:val="Compact"/>
      </w:pPr>
      <w:r>
        <w:rPr>
          <w:bCs/>
          <w:b/>
        </w:rPr>
        <w:t xml:space="preserve">Production (Scope 2 - 1.1% of Cradle-to-Grave PCF):</w:t>
      </w:r>
      <w:r>
        <w:t xml:space="preserve"> </w:t>
      </w:r>
      <w:r>
        <w:t xml:space="preserve">While renewable energy usage is high (75%), the remaining non-renewable electricity in China still contributes to the footprint. Further increasing renewable energy penetration at manufacturing sites would reduce this.</w:t>
      </w:r>
    </w:p>
    <w:bookmarkEnd w:id="45"/>
    <w:bookmarkStart w:id="46" w:name="reliability-and-limitations"/>
    <w:p>
      <w:pPr>
        <w:pStyle w:val="Heading3"/>
      </w:pPr>
      <w:r>
        <w:t xml:space="preserve">Reliability and Limitations</w:t>
      </w:r>
    </w:p>
    <w:p>
      <w:pPr>
        <w:pStyle w:val="FirstParagraph"/>
      </w:pPr>
      <w:r>
        <w:t xml:space="preserve">The reliability of this PCF analysis is high due to the use of detailed primary data (BOM, energy usage, lifespan) and adherence to the GHG Protocol. Industry-standard emission factors (e.g., from Ecoinvent/DEFRA equivalents) have been applied where primary data was unavailable or for generic processes.</w:t>
      </w:r>
    </w:p>
    <w:p>
      <w:pPr>
        <w:pStyle w:val="BodyText"/>
      </w:pPr>
      <w:r>
        <w:t xml:space="preserve">**Limitations:**</w:t>
      </w:r>
    </w:p>
    <w:p>
      <w:pPr>
        <w:numPr>
          <w:ilvl w:val="0"/>
          <w:numId w:val="1017"/>
        </w:numPr>
        <w:pStyle w:val="Compact"/>
      </w:pPr>
      <w:r>
        <w:t xml:space="preserve">Specific upstream transport data for each BOM item to the factory in China was not available; assumed to be embedded in the material emission factors.</w:t>
      </w:r>
    </w:p>
    <w:p>
      <w:pPr>
        <w:numPr>
          <w:ilvl w:val="0"/>
          <w:numId w:val="1017"/>
        </w:numPr>
        <w:pStyle w:val="Compact"/>
      </w:pPr>
      <w:r>
        <w:t xml:space="preserve">Last-mile delivery distance was an illustrative estimate (50 km).</w:t>
      </w:r>
    </w:p>
    <w:p>
      <w:pPr>
        <w:numPr>
          <w:ilvl w:val="0"/>
          <w:numId w:val="1017"/>
        </w:numPr>
        <w:pStyle w:val="Compact"/>
      </w:pPr>
      <w:r>
        <w:t xml:space="preserve">The EoL emission factor for the non-recycled portion is a generalized estimate due to the lack of a detailed breakdown of waste material types and specific disposal routes for the 20%.</w:t>
      </w:r>
    </w:p>
    <w:p>
      <w:pPr>
        <w:numPr>
          <w:ilvl w:val="0"/>
          <w:numId w:val="1017"/>
        </w:numPr>
        <w:pStyle w:val="Compact"/>
      </w:pPr>
      <w:r>
        <w:t xml:space="preserve">While the 2026 LSR Standard is acknowledged, detailed land-use change impacts were not explicitly quantified for individual material inputs in this product\'s BOM, as they are likely embedded in the selected EFs for materials like paper.</w:t>
      </w:r>
    </w:p>
    <w:p>
      <w:pPr>
        <w:numPr>
          <w:ilvl w:val="0"/>
          <w:numId w:val="1017"/>
        </w:numPr>
        <w:pStyle w:val="Compact"/>
      </w:pPr>
      <w:r>
        <w:t xml:space="preserve">Scope 3 coverage strives for 95%, but minor categories (e.g., business travel, employee commuting) may not be exhaustively quantified if deemed immaterial or lacking specific data.</w:t>
      </w:r>
    </w:p>
    <w:bookmarkEnd w:id="46"/>
    <w:bookmarkStart w:id="47" w:name="recommendations-for-emissions-reduction"/>
    <w:p>
      <w:pPr>
        <w:pStyle w:val="Heading3"/>
      </w:pPr>
      <w:r>
        <w:t xml:space="preserve">Recommendations for Emissions Reduction</w:t>
      </w:r>
    </w:p>
    <w:p>
      <w:pPr>
        <w:numPr>
          <w:ilvl w:val="0"/>
          <w:numId w:val="1018"/>
        </w:numPr>
        <w:pStyle w:val="Compact"/>
      </w:pPr>
      <w:r>
        <w:rPr>
          <w:bCs/>
          <w:b/>
        </w:rPr>
        <w:t xml:space="preserve">Material Optimization:</w:t>
      </w:r>
      <w:r>
        <w:t xml:space="preserve"> </w:t>
      </w:r>
      <w:r>
        <w:t xml:space="preserve">Explore alternative, lower-impact materials or design for reduced material intensity, especially for aluminum and batteries. Investigate suppliers committed to low-carbon production.</w:t>
      </w:r>
    </w:p>
    <w:p>
      <w:pPr>
        <w:numPr>
          <w:ilvl w:val="0"/>
          <w:numId w:val="1018"/>
        </w:numPr>
        <w:pStyle w:val="Compact"/>
      </w:pPr>
      <w:r>
        <w:rPr>
          <w:bCs/>
          <w:b/>
        </w:rPr>
        <w:t xml:space="preserve">Energy Efficiency in Use:</w:t>
      </w:r>
      <w:r>
        <w:t xml:space="preserve"> </w:t>
      </w:r>
      <w:r>
        <w:t xml:space="preserve">Design ngqyezkzmi for even greater energy efficiency during its operational lifetime. Provide users with clear information on optimal usage to minimize energy consumption.</w:t>
      </w:r>
    </w:p>
    <w:p>
      <w:pPr>
        <w:numPr>
          <w:ilvl w:val="0"/>
          <w:numId w:val="1018"/>
        </w:numPr>
        <w:pStyle w:val="Compact"/>
      </w:pPr>
      <w:r>
        <w:rPr>
          <w:bCs/>
          <w:b/>
        </w:rPr>
        <w:t xml:space="preserve">Renewable Energy Procurement:</w:t>
      </w:r>
      <w:r>
        <w:t xml:space="preserve"> </w:t>
      </w:r>
      <w:r>
        <w:t xml:space="preserve">Continuously increase the share of renewable energy sourcing at manufacturing facilities in China beyond 75%. This could include on-site generation or power purchase agreements (PPAs).</w:t>
      </w:r>
    </w:p>
    <w:p>
      <w:pPr>
        <w:numPr>
          <w:ilvl w:val="0"/>
          <w:numId w:val="1018"/>
        </w:numPr>
        <w:pStyle w:val="Compact"/>
      </w:pPr>
      <w:r>
        <w:rPr>
          <w:bCs/>
          <w:b/>
        </w:rPr>
        <w:t xml:space="preserve">Logistics Optimization:</w:t>
      </w:r>
      <w:r>
        <w:t xml:space="preserve"> </w:t>
      </w:r>
      <w:r>
        <w:t xml:space="preserve">Optimize transport routes, explore more efficient transport modes (e.g., rail for European distribution where feasible), and consolidate shipments to reduce per-unit transport emissions.</w:t>
      </w:r>
    </w:p>
    <w:p>
      <w:pPr>
        <w:numPr>
          <w:ilvl w:val="0"/>
          <w:numId w:val="1018"/>
        </w:numPr>
        <w:pStyle w:val="Compact"/>
      </w:pPr>
      <w:r>
        <w:rPr>
          <w:bCs/>
          <w:b/>
        </w:rPr>
        <w:t xml:space="preserve">Enhance Circularity:</w:t>
      </w:r>
      <w:r>
        <w:t xml:space="preserve"> </w:t>
      </w:r>
      <w:r>
        <w:t xml:space="preserve">Further strengthen take-back programs and explore innovative recycling technologies to improve resource recovery rates beyond 80%, aiming for closed-loop systems.</w:t>
      </w:r>
    </w:p>
    <w:p>
      <w:r>
        <w:pict>
          <v:rect style="width:0;height:1.5pt" o:hralign="center" o:hrstd="t" o:hr="t"/>
        </w:pict>
      </w:r>
    </w:p>
    <w:p>
      <w:pPr>
        <w:pStyle w:val="FirstParagraph"/>
      </w:pPr>
      <w:r>
        <w:t xml:space="preserve">Confidential - Internal Use Only | Page</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ngqyezkzmi</dc:title>
  <dc:creator/>
  <dc:description>High-detail Product Carbon Footprint (PCF) analysis report for product ngqyezkzmi by johwzkvnzj, Senior Sustainability Consultant for vjwngzhptt, adhering to GHG Protocol standards and 2026 LSR update.</dc:description>
  <dc:language>en</dc:language>
  <cp:keywords/>
  <dcterms:created xsi:type="dcterms:W3CDTF">2026-05-30T23:57:38Z</dcterms:created>
  <dcterms:modified xsi:type="dcterms:W3CDTF">2026-05-30T23:57:38Z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