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ngjidfvxyt</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ngjidfvxyt</w:t>
      </w:r>
    </w:p>
    <w:p>
      <w:pPr>
        <w:pStyle w:val="BodyText"/>
      </w:pPr>
      <w:r>
        <w:rPr>
          <w:bCs/>
          <w:b/>
        </w:rPr>
        <w:t xml:space="preserve">Company:</w:t>
      </w:r>
      <w:r>
        <w:t xml:space="preserve"> </w:t>
      </w:r>
      <w:r>
        <w:t xml:space="preserve">iwwdfunwrt</w:t>
      </w:r>
    </w:p>
    <w:p>
      <w:pPr>
        <w:pStyle w:val="BodyText"/>
      </w:pPr>
      <w:r>
        <w:rPr>
          <w:bCs/>
          <w:b/>
        </w:rPr>
        <w:t xml:space="preserve">Senior Sustainability Consultant:</w:t>
      </w:r>
      <w:r>
        <w:t xml:space="preserve"> </w:t>
      </w:r>
      <w:r>
        <w:t xml:space="preserve">yepwuojukm</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every effort has been made to ensure accuracy, it serves as an estimate of the product\'s carbon footprint and should be used for internal strategic planning and sustainability reporting purposes.</w:t>
      </w:r>
    </w:p>
    <w:bookmarkEnd w:id="20"/>
    <w:bookmarkStart w:id="39" w:name="X1ac22b5a1406b3e244d75e537b15cc41b07864a"/>
    <w:p>
      <w:pPr>
        <w:pStyle w:val="Heading1"/>
      </w:pPr>
      <w:r>
        <w:t xml:space="preserve">Product Carbon Footprint Analysis Report: ngjidfvxyt</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\'ngjidfvxyt\' manufactured by \'iwwdfunwrt\'. The analysis was conducted by Senior Sustainability Consultant \'yepwuojukm\' in adherence to the GHG Protocol\'s accounting standards, incorporating the 2026 Land Sector and Removals (LSR) Standard and ensuring over 95% Scope 3 coverage. The primary goal is to quantify the greenhouse gas emissions across the product\'s lifecycle, identify key hotspots, and provide a basis for strategic emission reduction efforts. This report covers emissions from raw material extraction, manufacturing, transportation, the product\'s use phase, and end-of-life scenarios, providing a comprehensive view of environmental impact from a factory-gate system boundary perspective.</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The initial phase of the PCF analysis establishes the boundaries and parameters of the study to ensure consistency and relevance.</w:t>
      </w:r>
    </w:p>
    <w:p>
      <w:pPr>
        <w:numPr>
          <w:ilvl w:val="0"/>
          <w:numId w:val="1001"/>
        </w:numPr>
        <w:pStyle w:val="Compact"/>
      </w:pPr>
      <w:r>
        <w:rPr>
          <w:bCs/>
          <w:b/>
        </w:rPr>
        <w:t xml:space="preserve">Functional Unit:</w:t>
      </w:r>
      <w:r>
        <w:t xml:space="preserve"> </w:t>
      </w:r>
      <w:r>
        <w:t xml:space="preserve">The analysis is based on a functional unit of</w:t>
      </w:r>
      <w:r>
        <w:t xml:space="preserve"> </w:t>
      </w:r>
      <w:r>
        <w:rPr>
          <w:bCs/>
          <w:b/>
        </w:rPr>
        <w:t xml:space="preserve">1.0 unit</w:t>
      </w:r>
      <w:r>
        <w:t xml:space="preserve"> </w:t>
      </w:r>
      <w:r>
        <w:t xml:space="preserve">of \'ngjidfvxyt\'. This unit defines the quantified performance of the product system for use as a reference flow.</w:t>
      </w:r>
    </w:p>
    <w:p>
      <w:pPr>
        <w:numPr>
          <w:ilvl w:val="0"/>
          <w:numId w:val="1001"/>
        </w:numPr>
        <w:pStyle w:val="Compact"/>
      </w:pPr>
      <w:r>
        <w:rPr>
          <w:bCs/>
          <w:b/>
        </w:rPr>
        <w:t xml:space="preserve">System Boundary:</w:t>
      </w:r>
      <w:r>
        <w:t xml:space="preserve"> </w:t>
      </w:r>
      <w:r>
        <w:t xml:space="preserve">The defined system boundary for this PCF is</w:t>
      </w:r>
      <w:r>
        <w:t xml:space="preserve"> </w:t>
      </w:r>
      <w:r>
        <w:rPr>
          <w:bCs/>
          <w:b/>
        </w:rPr>
        <w:t xml:space="preserve">"factory_gate"</w:t>
      </w:r>
      <w:r>
        <w:t xml:space="preserve">. This encompasses all emissions from raw material acquisition, transportation to the manufacturing facility, and the production processes up to the point the finished product leaves the factory. For comprehensive reporting as per GHG Protocol Scope 3 requirements, downstream emissions (transportation to consumer, use phase, and end-of-life) are also calculated and reported separately.</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(This indicates that raw material sourcing and intermediate processing often occur within Europe before final assembly in China, or that major components are sourced from Europe).</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 (Corporate Standard and Product Standard)</w:t>
      </w:r>
      <w:r>
        <w:t xml:space="preserve">. Emissions are categorized into Scope 1 (direct emissions), Scope 2 (indirect emissions from purchased energy), and Scope 3 (all other indirect emissions in the value chain). The latest 2026 Land Sector and Removals (LSR) Standard has been applied for relevant land-use and carbon removal aspects.</w:t>
      </w:r>
    </w:p>
    <w:p>
      <w:pPr>
        <w:numPr>
          <w:ilvl w:val="0"/>
          <w:numId w:val="1001"/>
        </w:numPr>
        <w:pStyle w:val="Compact"/>
      </w:pPr>
      <w:r>
        <w:rPr>
          <w:bCs/>
          <w:b/>
        </w:rPr>
        <w:t xml:space="preserve">Allocation:</w:t>
      </w:r>
      <w:r>
        <w:t xml:space="preserve"> </w:t>
      </w:r>
      <w:r>
        <w:t xml:space="preserve">Where co-production or multi-functional processes exist, economic allocation is applied to attribute environmental burdens based on the relative economic value of the co-products or services. For recycling, the "closed-loop" approach is used where secondary material replaces primary material.</w:t>
      </w:r>
    </w:p>
    <w:p>
      <w:r>
        <w:pict>
          <v:rect style="width:0;height:1.5pt" o:hralign="center" o:hrstd="t" o:hr="t"/>
        </w:pict>
      </w:r>
    </w:p>
    <w:bookmarkEnd w:id="22"/>
    <w:bookmarkStart w:id="28" w:name="Xd9a70c659bfcd295e1cdb6c2eb7ab1139a4e8cf"/>
    <w:p>
      <w:pPr>
        <w:pStyle w:val="Heading2"/>
      </w:pPr>
      <w:r>
        <w:t xml:space="preserve">2. Lifecycle Mapping and Data Collection (LCI Inventory Stages)</w:t>
      </w:r>
    </w:p>
    <w:p>
      <w:pPr>
        <w:pStyle w:val="FirstParagraph"/>
      </w:pPr>
      <w:r>
        <w:t xml:space="preserve">This section details the various stages of the product\'s lifecycle and the data collected for the inventory. Primary data from \'iwwdfunwrt\' is prioritized, supplemented by high-quality secondary data from reputable databases.</w:t>
      </w:r>
    </w:p>
    <w:bookmarkStart w:id="23" w:name="Xc8ac7bd6ce301d77c6be01913a427776881bf3c"/>
    <w:p>
      <w:pPr>
        <w:pStyle w:val="Heading3"/>
      </w:pPr>
      <w:r>
        <w:t xml:space="preserve">2.1. Raw Material Acquisition and Pre-processing (Cradle-to-Gate of Material Production)</w:t>
      </w:r>
    </w:p>
    <w:p>
      <w:pPr>
        <w:pStyle w:val="FirstParagraph"/>
      </w:pPr>
      <w:r>
        <w:t xml:space="preserve">The material impact is calculated based on the provided Detailed Bill of Materials (BOM), \'xwvxeodo\'. The emission factors used are indicative of industry averages for the specified processes and categories, generally sourced from databases like Ecoinvent v3.8 and DEFRA 2023 guidelines. The BOM data provided already includes estimated emission factors and total carbon for each item, which are used directly for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w:t>
            </w:r>
          </w:p>
        </w:tc>
      </w:tr>
      <w:tr>
        <w:tc>
          <w:tcPr/>
          <w:p>
            <w:pPr>
              <w:pStyle w:val="Compact"/>
              <w:jc w:val="left"/>
            </w:pPr>
            <w:r>
              <w:t xml:space="preserve">102</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103</w:t>
            </w:r>
          </w:p>
        </w:tc>
        <w:tc>
          <w:tcPr/>
          <w:p>
            <w:pPr>
              <w:pStyle w:val="Compact"/>
              <w:jc w:val="left"/>
            </w:pPr>
            <w:r>
              <w:t xml:space="preserve">Lithium Battery</w:t>
            </w:r>
          </w:p>
        </w:tc>
        <w:tc>
          <w:tcPr/>
          <w:p>
            <w:pPr>
              <w:pStyle w:val="Compact"/>
              <w:jc w:val="left"/>
            </w:pPr>
            <w:r>
              <w:t xml:space="preserve">Metals</w:t>
            </w:r>
          </w:p>
        </w:tc>
        <w:tc>
          <w:tcPr/>
          <w:p>
            <w:pPr>
              <w:pStyle w:val="Compact"/>
              <w:jc w:val="left"/>
            </w:pPr>
            <w:r>
              <w:t xml:space="preserve">Battery Production</w:t>
            </w:r>
          </w:p>
        </w:tc>
        <w:tc>
          <w:tcPr/>
          <w:p>
            <w:pPr>
              <w:pStyle w:val="Compact"/>
              <w:jc w:val="left"/>
            </w:pPr>
            <w:r>
              <w:t xml:space="preserve">1.0</w:t>
            </w:r>
          </w:p>
        </w:tc>
        <w:tc>
          <w:tcPr/>
          <w:p>
            <w:pPr>
              <w:pStyle w:val="Compact"/>
              <w:jc w:val="left"/>
            </w:pPr>
            <w:r>
              <w:t xml:space="preserve">unit</w:t>
            </w:r>
          </w:p>
        </w:tc>
        <w:tc>
          <w:tcPr/>
          <w:p>
            <w:pPr>
              <w:pStyle w:val="Compact"/>
              <w:jc w:val="left"/>
            </w:pPr>
            <w:r>
              <w:t xml:space="preserve">4.0</w:t>
            </w:r>
          </w:p>
        </w:tc>
        <w:tc>
          <w:tcPr/>
          <w:p>
            <w:pPr>
              <w:pStyle w:val="Compact"/>
              <w:jc w:val="left"/>
            </w:pPr>
            <w:r>
              <w:t xml:space="preserve">4.0</w:t>
            </w:r>
          </w:p>
        </w:tc>
      </w:tr>
      <w:tr>
        <w:tc>
          <w:tcPr/>
          <w:p>
            <w:pPr>
              <w:pStyle w:val="Compact"/>
              <w:jc w:val="left"/>
            </w:pPr>
            <w:r>
              <w:t xml:space="preserve">104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p>
            <w:pPr>
              <w:pStyle w:val="Compact"/>
              <w:jc w:val="left"/>
            </w:pPr>
            <w:r>
              <w:t xml:space="preserve">105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Paper 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7.5 kgCO2e</w:t>
            </w:r>
          </w:p>
        </w:tc>
      </w:tr>
    </w:tbl>
    <w:bookmarkEnd w:id="23"/>
    <w:bookmarkStart w:id="24" w:name="manufacturing-and-production"/>
    <w:p>
      <w:pPr>
        <w:pStyle w:val="Heading3"/>
      </w:pPr>
      <w:r>
        <w:t xml:space="preserve">2.2. Manufacturing and Production</w:t>
      </w:r>
    </w:p>
    <w:p>
      <w:pPr>
        <w:pStyle w:val="FirstParagraph"/>
      </w:pPr>
      <w:r>
        <w:t xml:space="preserve">This stage covers the energy consumption and direct emissions associated with the production of \'ngjidfvxyt\' in China.</w:t>
      </w:r>
    </w:p>
    <w:p>
      <w:pPr>
        <w:numPr>
          <w:ilvl w:val="0"/>
          <w:numId w:val="1003"/>
        </w:numPr>
        <w:pStyle w:val="Compact"/>
      </w:pPr>
      <w:r>
        <w:rPr>
          <w:bCs/>
          <w:b/>
        </w:rPr>
        <w:t xml:space="preserve">Energy Intensity (kWh/unit):</w:t>
      </w:r>
      <w:r>
        <w:t xml:space="preserve"> </w:t>
      </w:r>
      <w:r>
        <w:t xml:space="preserve">The production process consumes</w:t>
      </w:r>
      <w:r>
        <w:t xml:space="preserve"> </w:t>
      </w:r>
      <w:r>
        <w:rPr>
          <w:bCs/>
          <w:b/>
        </w:rPr>
        <w:t xml:space="preserve">plwdpqioxd (5 kWh/unit)</w:t>
      </w:r>
      <w:r>
        <w:t xml:space="preserve">.</w:t>
      </w:r>
    </w:p>
    <w:p>
      <w:pPr>
        <w:numPr>
          <w:ilvl w:val="0"/>
          <w:numId w:val="1003"/>
        </w:numPr>
        <w:pStyle w:val="Compact"/>
      </w:pPr>
      <w:r>
        <w:rPr>
          <w:bCs/>
          <w:b/>
        </w:rPr>
        <w:t xml:space="preserve">Renewable Energy Usage:</w:t>
      </w:r>
      <w:r>
        <w:t xml:space="preserve"> </w:t>
      </w:r>
      <w:r>
        <w:rPr>
          <w:bCs/>
          <w:b/>
        </w:rPr>
        <w:t xml:space="preserve">trokjhttex (70%)</w:t>
      </w:r>
      <w:r>
        <w:t xml:space="preserve"> </w:t>
      </w:r>
      <w:r>
        <w:t xml:space="preserve">of the electricity used in production is sourced from renewable energy. The remaining 30% is from the grid mix of China.</w:t>
      </w:r>
    </w:p>
    <w:p>
      <w:pPr>
        <w:numPr>
          <w:ilvl w:val="0"/>
          <w:numId w:val="1003"/>
        </w:numPr>
        <w:pStyle w:val="Compact"/>
      </w:pPr>
      <w:r>
        <w:rPr>
          <w:bCs/>
          <w:b/>
        </w:rPr>
        <w:t xml:space="preserve">Direct Emissions (Scope 1):</w:t>
      </w:r>
      <w:r>
        <w:t xml:space="preserve"> </w:t>
      </w:r>
      <w:r>
        <w:t xml:space="preserve">Any direct emissions from owned or controlled sources (e.g., fuel combustion in factory boilers) are considered negligible for this product given the primary focus on purchased electricity for manufacturing, but would be accounted for if significant.</w:t>
      </w:r>
    </w:p>
    <w:p>
      <w:pPr>
        <w:numPr>
          <w:ilvl w:val="0"/>
          <w:numId w:val="1003"/>
        </w:numPr>
        <w:pStyle w:val="Compact"/>
      </w:pPr>
      <w:r>
        <w:rPr>
          <w:bCs/>
          <w:b/>
        </w:rPr>
        <w:t xml:space="preserve">Purchased Electricity (Scope 2):</w:t>
      </w:r>
      <w:r>
        <w:t xml:space="preserve"> </w:t>
      </w:r>
      <w:r>
        <w:t xml:space="preserve">Emissions from grid electricity consumption are calculated using regional grid emission factors. Renewable energy consumption is accounted for with an appropriate factor (e.g., close to zero or a very low value for certified green power).</w:t>
      </w:r>
    </w:p>
    <w:bookmarkEnd w:id="24"/>
    <w:bookmarkStart w:id="25" w:name="X2acf8f53b0656dca1cbbcbf5b7c6c5a47d1fa88"/>
    <w:p>
      <w:pPr>
        <w:pStyle w:val="Heading3"/>
      </w:pPr>
      <w:r>
        <w:t xml:space="preserve">2.3. Transportation and Distribution (Upstream and Downstream Logistics)</w:t>
      </w:r>
    </w:p>
    <w:p>
      <w:pPr>
        <w:pStyle w:val="FirstParagraph"/>
      </w:pPr>
      <w:r>
        <w:t xml:space="preserve">Logistics impacts are crucial for the supply chain focused on Europe for raw materials and China for final production, followed by distribution.</w:t>
      </w:r>
    </w:p>
    <w:p>
      <w:pPr>
        <w:numPr>
          <w:ilvl w:val="0"/>
          <w:numId w:val="1004"/>
        </w:numPr>
        <w:pStyle w:val="Compact"/>
      </w:pPr>
      <w:r>
        <w:rPr>
          <w:bCs/>
          <w:b/>
        </w:rPr>
        <w:t xml:space="preserve">Upstream Transport (Components to Factory in China):</w:t>
      </w:r>
      <w:r>
        <w:t xml:space="preserve"> </w:t>
      </w:r>
      <w:r>
        <w:t xml:space="preserve">Given a "Europe Focused" supply chain, component transport includes significant distances.</w:t>
      </w:r>
    </w:p>
    <w:p>
      <w:pPr>
        <w:numPr>
          <w:ilvl w:val="1"/>
          <w:numId w:val="1005"/>
        </w:numPr>
        <w:pStyle w:val="Compact"/>
      </w:pPr>
      <w:r>
        <w:rPr>
          <w:bCs/>
          <w:b/>
        </w:rPr>
        <w:t xml:space="preserve">Transport Mode (Illustrative):</w:t>
      </w:r>
      <w:r>
        <w:t xml:space="preserve"> </w:t>
      </w:r>
      <w:r>
        <w:t xml:space="preserve">Select Mode (Road freight, HGV &gt; 32t and Ocean freight for intercontinental). For simplicity in aggregated calculation, an average factor is used.</w:t>
      </w:r>
    </w:p>
    <w:p>
      <w:pPr>
        <w:numPr>
          <w:ilvl w:val="1"/>
          <w:numId w:val="1005"/>
        </w:numPr>
        <w:pStyle w:val="Compact"/>
      </w:pPr>
      <w:r>
        <w:rPr>
          <w:bCs/>
          <w:b/>
        </w:rPr>
        <w:t xml:space="preserve">Transport Distance (Illustrative):</w:t>
      </w:r>
      <w:r>
        <w:t xml:space="preserve"> </w:t>
      </w:r>
      <w:r>
        <w:t xml:space="preserve">krmnotfixf (e.g., 5000 km for ocean + 500 km for road for European components). For this report, we\'ll use an average indicative distance for components from Europe to China.</w:t>
      </w:r>
    </w:p>
    <w:p>
      <w:pPr>
        <w:numPr>
          <w:ilvl w:val="0"/>
          <w:numId w:val="1004"/>
        </w:numPr>
        <w:pStyle w:val="Compact"/>
      </w:pPr>
      <w:r>
        <w:rPr>
          <w:bCs/>
          <w:b/>
        </w:rPr>
        <w:t xml:space="preserve">Downstream Transport (Factory to Customer/Distribution Center):</w:t>
      </w:r>
    </w:p>
    <w:p>
      <w:pPr>
        <w:numPr>
          <w:ilvl w:val="1"/>
          <w:numId w:val="1006"/>
        </w:numPr>
        <w:pStyle w:val="Compact"/>
      </w:pPr>
      <w:r>
        <w:rPr>
          <w:bCs/>
          <w:b/>
        </w:rPr>
        <w:t xml:space="preserve">Transport Mode (Illustrative):</w:t>
      </w:r>
      <w:r>
        <w:t xml:space="preserve"> </w:t>
      </w:r>
      <w:r>
        <w:t xml:space="preserve">Select Mode (Road freight, HGV &gt; 32t) for distribution within regions from central hubs.</w:t>
      </w:r>
    </w:p>
    <w:p>
      <w:pPr>
        <w:numPr>
          <w:ilvl w:val="1"/>
          <w:numId w:val="1006"/>
        </w:numPr>
        <w:pStyle w:val="Compact"/>
      </w:pPr>
      <w:r>
        <w:rPr>
          <w:bCs/>
          <w:b/>
        </w:rPr>
        <w:t xml:space="preserve">Transport Distance (Illustrative):</w:t>
      </w:r>
      <w:r>
        <w:t xml:space="preserve"> </w:t>
      </w:r>
      <w:r>
        <w:t xml:space="preserve">krmnotfixf (e.g., 1500 km to main distribution centers).</w:t>
      </w:r>
    </w:p>
    <w:p>
      <w:pPr>
        <w:numPr>
          <w:ilvl w:val="1"/>
          <w:numId w:val="1006"/>
        </w:numPr>
        <w:pStyle w:val="Compact"/>
      </w:pPr>
      <w:r>
        <w:rPr>
          <w:bCs/>
          <w:b/>
        </w:rPr>
        <w:t xml:space="preserve">Last-Mile Delivery Channel:</w:t>
      </w:r>
      <w:r>
        <w:t xml:space="preserve"> </w:t>
      </w:r>
      <w:r>
        <w:t xml:space="preserve">Delivery Type (Van delivery) for final consumer delivery.</w:t>
      </w:r>
    </w:p>
    <w:bookmarkEnd w:id="25"/>
    <w:bookmarkStart w:id="26" w:name="use-phase"/>
    <w:p>
      <w:pPr>
        <w:pStyle w:val="Heading3"/>
      </w:pPr>
      <w:r>
        <w:t xml:space="preserve">2.4. Use Phase</w:t>
      </w:r>
    </w:p>
    <w:p>
      <w:pPr>
        <w:pStyle w:val="FirstParagraph"/>
      </w:pPr>
      <w:r>
        <w:t xml:space="preserve">The emissions during the product\'s lifespan are critical, especially for energy-consuming products.</w:t>
      </w:r>
    </w:p>
    <w:p>
      <w:pPr>
        <w:numPr>
          <w:ilvl w:val="0"/>
          <w:numId w:val="1007"/>
        </w:numPr>
        <w:pStyle w:val="Compact"/>
      </w:pPr>
      <w:r>
        <w:rPr>
          <w:bCs/>
          <w:b/>
        </w:rPr>
        <w:t xml:space="preserve">Product Lifespan:</w:t>
      </w:r>
      <w:r>
        <w:t xml:space="preserve"> </w:t>
      </w:r>
      <w:r>
        <w:t xml:space="preserve">The product \'ngjidfvxyt\' has a lifespan of</w:t>
      </w:r>
      <w:r>
        <w:t xml:space="preserve"> </w:t>
      </w:r>
      <w:r>
        <w:rPr>
          <w:bCs/>
          <w:b/>
        </w:rPr>
        <w:t xml:space="preserve">kmtzhklgxt (5 years)</w:t>
      </w:r>
      <w:r>
        <w:t xml:space="preserve">.</w:t>
      </w:r>
    </w:p>
    <w:p>
      <w:pPr>
        <w:numPr>
          <w:ilvl w:val="0"/>
          <w:numId w:val="1007"/>
        </w:numPr>
        <w:pStyle w:val="Compact"/>
      </w:pPr>
      <w:r>
        <w:rPr>
          <w:bCs/>
          <w:b/>
        </w:rPr>
        <w:t xml:space="preserve">Energy Consumption in Use:</w:t>
      </w:r>
      <w:r>
        <w:t xml:space="preserve"> </w:t>
      </w:r>
      <w:r>
        <w:t xml:space="preserve">During its operational life, the product consumes</w:t>
      </w:r>
      <w:r>
        <w:t xml:space="preserve"> </w:t>
      </w:r>
      <w:r>
        <w:rPr>
          <w:bCs/>
          <w:b/>
        </w:rPr>
        <w:t xml:space="preserve">jmkqlujgdx (10 kWh/year)</w:t>
      </w:r>
      <w:r>
        <w:t xml:space="preserve">. The emission factor for this energy consumption is based on the average grid mix of the user\'s geographic region (assumed EU average for this report, given Europe Focus).</w:t>
      </w:r>
    </w:p>
    <w:bookmarkEnd w:id="26"/>
    <w:bookmarkStart w:id="27" w:name="end-of-life-eol"/>
    <w:p>
      <w:pPr>
        <w:pStyle w:val="Heading3"/>
      </w:pPr>
      <w:r>
        <w:t xml:space="preserve">2.5. End-of-Life (EoL)</w:t>
      </w:r>
    </w:p>
    <w:p>
      <w:pPr>
        <w:pStyle w:val="FirstParagraph"/>
      </w:pPr>
      <w:r>
        <w:t xml:space="preserve">This stage accounts for emissions and potential credits from disposal or recycling.</w:t>
      </w:r>
    </w:p>
    <w:p>
      <w:pPr>
        <w:numPr>
          <w:ilvl w:val="0"/>
          <w:numId w:val="1008"/>
        </w:numPr>
        <w:pStyle w:val="Compact"/>
      </w:pPr>
      <w:r>
        <w:rPr>
          <w:bCs/>
          <w:b/>
        </w:rPr>
        <w:t xml:space="preserve">Recyclability Percentage:</w:t>
      </w:r>
      <w:r>
        <w:t xml:space="preserve"> </w:t>
      </w:r>
      <w:r>
        <w:t xml:space="preserve">The product has a recyclability percentage of</w:t>
      </w:r>
      <w:r>
        <w:t xml:space="preserve"> </w:t>
      </w:r>
      <w:r>
        <w:rPr>
          <w:bCs/>
          <w:b/>
        </w:rPr>
        <w:t xml:space="preserve">mojyhqkmke (80%)</w:t>
      </w:r>
      <w:r>
        <w:t xml:space="preserve">. This means 80% of the product\'s mass is assumed to be recovered for recycling, avoiding primary material production.</w:t>
      </w:r>
    </w:p>
    <w:p>
      <w:pPr>
        <w:numPr>
          <w:ilvl w:val="0"/>
          <w:numId w:val="1008"/>
        </w:numPr>
        <w:pStyle w:val="Compact"/>
      </w:pPr>
      <w:r>
        <w:rPr>
          <w:bCs/>
          <w:b/>
        </w:rPr>
        <w:t xml:space="preserve">Circular/Take-back Programs:</w:t>
      </w:r>
      <w:r>
        <w:t xml:space="preserve"> </w:t>
      </w:r>
      <w:r>
        <w:rPr>
          <w:bCs/>
          <w:b/>
        </w:rPr>
        <w:t xml:space="preserve">qnoeypdmsx (Company operates a take-back program for product components)</w:t>
      </w:r>
      <w:r>
        <w:t xml:space="preserve">. This implies a structured approach to recovery, increasing the likelihood of achieved recyclability.</w:t>
      </w:r>
    </w:p>
    <w:p>
      <w:pPr>
        <w:numPr>
          <w:ilvl w:val="0"/>
          <w:numId w:val="1008"/>
        </w:numPr>
        <w:pStyle w:val="Compact"/>
      </w:pPr>
      <w:r>
        <w:rPr>
          <w:bCs/>
          <w:b/>
        </w:rPr>
        <w:t xml:space="preserve">Disposal:</w:t>
      </w:r>
      <w:r>
        <w:t xml:space="preserve"> </w:t>
      </w:r>
      <w:r>
        <w:t xml:space="preserve">The remaining 20% of the product\'s mass is assumed to go to landfill.</w:t>
      </w:r>
    </w:p>
    <w:p>
      <w:r>
        <w:pict>
          <v:rect style="width:0;height:1.5pt" o:hralign="center" o:hrstd="t" o:hr="t"/>
        </w:pict>
      </w:r>
    </w:p>
    <w:bookmarkEnd w:id="27"/>
    <w:bookmarkEnd w:id="28"/>
    <w:bookmarkStart w:id="32" w:name="Xa32240c5241296f205fe4c97b155cf34bde472b"/>
    <w:p>
      <w:pPr>
        <w:pStyle w:val="Heading2"/>
      </w:pPr>
      <w:r>
        <w:t xml:space="preserve">3. Carbon Emission Calculation (Activity * Emission Factor = CO2e)</w:t>
      </w:r>
    </w:p>
    <w:p>
      <w:pPr>
        <w:pStyle w:val="FirstParagraph"/>
      </w:pPr>
      <w:r>
        <w:t xml:space="preserve">This section quantifies the greenhouse gas emissions for each lifecycle stage and categorizes them according to the GHG Protocol\'s Scope 1, 2, and 3 classifications. Emission factors from Ecoinvent v3.8 and DEFRA 2023 guidelines are utilized, adapted to specific geographic and technological contexts.</w:t>
      </w:r>
    </w:p>
    <w:bookmarkStart w:id="29" w:name="illustrative-emission-factors-used"/>
    <w:p>
      <w:pPr>
        <w:pStyle w:val="Heading3"/>
      </w:pPr>
      <w:r>
        <w:t xml:space="preserve">3.1. Illustrative Emission Factors Used:</w:t>
      </w:r>
    </w:p>
    <w:p>
      <w:pPr>
        <w:numPr>
          <w:ilvl w:val="0"/>
          <w:numId w:val="1009"/>
        </w:numPr>
        <w:pStyle w:val="Compact"/>
      </w:pPr>
      <w:r>
        <w:t xml:space="preserve">China Grid Electricity Mix: 0.6 kgCO2e/kWh</w:t>
      </w:r>
    </w:p>
    <w:p>
      <w:pPr>
        <w:numPr>
          <w:ilvl w:val="0"/>
          <w:numId w:val="1009"/>
        </w:numPr>
        <w:pStyle w:val="Compact"/>
      </w:pPr>
      <w:r>
        <w:t xml:space="preserve">European Average Grid Electricity Mix: 0.3 kgCO2e/kWh</w:t>
      </w:r>
    </w:p>
    <w:p>
      <w:pPr>
        <w:numPr>
          <w:ilvl w:val="0"/>
          <w:numId w:val="1009"/>
        </w:numPr>
        <w:pStyle w:val="Compact"/>
      </w:pPr>
      <w:r>
        <w:t xml:space="preserve">Renewable Electricity (certified): 0.05 kgCO2e/kWh (for residual emissions)</w:t>
      </w:r>
    </w:p>
    <w:p>
      <w:pPr>
        <w:numPr>
          <w:ilvl w:val="0"/>
          <w:numId w:val="1009"/>
        </w:numPr>
        <w:pStyle w:val="Compact"/>
      </w:pPr>
      <w:r>
        <w:t xml:space="preserve">Road Freight (HGV &gt; 32t, avg): 0.07 kgCO2e/tkm</w:t>
      </w:r>
    </w:p>
    <w:p>
      <w:pPr>
        <w:numPr>
          <w:ilvl w:val="0"/>
          <w:numId w:val="1009"/>
        </w:numPr>
        <w:pStyle w:val="Compact"/>
      </w:pPr>
      <w:r>
        <w:t xml:space="preserve">Ocean Freight (avg): 0.01 kgCO2e/tkm</w:t>
      </w:r>
    </w:p>
    <w:p>
      <w:pPr>
        <w:numPr>
          <w:ilvl w:val="0"/>
          <w:numId w:val="1009"/>
        </w:numPr>
        <w:pStyle w:val="Compact"/>
      </w:pPr>
      <w:r>
        <w:t xml:space="preserve">Van Delivery (last mile): 0.5 kgCO2e/unit (estimated fixed impact per delivery)</w:t>
      </w:r>
    </w:p>
    <w:p>
      <w:pPr>
        <w:numPr>
          <w:ilvl w:val="0"/>
          <w:numId w:val="1009"/>
        </w:numPr>
        <w:pStyle w:val="Compact"/>
      </w:pPr>
      <w:r>
        <w:t xml:space="preserve">Landfill (mixed waste): 1.5 kgCO2e/kg</w:t>
      </w:r>
    </w:p>
    <w:p>
      <w:pPr>
        <w:numPr>
          <w:ilvl w:val="0"/>
          <w:numId w:val="1009"/>
        </w:numPr>
        <w:pStyle w:val="Compact"/>
      </w:pPr>
      <w:r>
        <w:t xml:space="preserve">Recycling Credit (avoided primary material, e.g., plastic): -1.0 kgCO2e/kg</w:t>
      </w:r>
    </w:p>
    <w:bookmarkEnd w:id="29"/>
    <w:bookmarkStart w:id="30" w:name="Xab442500838c10a9fcfd53e9fafcecb6dfb1b52"/>
    <w:p>
      <w:pPr>
        <w:pStyle w:val="Heading3"/>
      </w:pPr>
      <w:r>
        <w:t xml:space="preserve">3.2. Emission Totals by Lifecycle Stage and Scope</w:t>
      </w:r>
    </w:p>
    <w:tbl>
      <w:tblPr>
        <w:tblStyle w:val="Table"/>
        <w:tblW w:type="auto" w:w="0"/>
        <w:tblLook w:firstRow="1" w:lastRow="1"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Lifecycle Stage</w:t>
            </w:r>
          </w:p>
        </w:tc>
        <w:tc>
          <w:tcPr/>
          <w:p>
            <w:pPr>
              <w:pStyle w:val="Compact"/>
              <w:jc w:val="left"/>
            </w:pPr>
            <w:r>
              <w:t xml:space="preserve">Activity Description</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Total CO2e (kg)</w:t>
            </w:r>
          </w:p>
        </w:tc>
        <w:tc>
          <w:tcPr/>
          <w:p>
            <w:pPr>
              <w:pStyle w:val="Compact"/>
              <w:jc w:val="left"/>
            </w:pPr>
            <w:r>
              <w:t xml:space="preserve">GHG Scope</w:t>
            </w:r>
          </w:p>
        </w:tc>
      </w:tr>
      <w:tr>
        <w:tc>
          <w:tcPr/>
          <w:p>
            <w:pPr>
              <w:pStyle w:val="Compact"/>
              <w:jc w:val="left"/>
            </w:pPr>
            <w:r>
              <w:rPr>
                <w:bCs/>
                <w:b/>
              </w:rPr>
              <w:t xml:space="preserve">Materials Acquisition &amp; Pre-processing</w:t>
            </w:r>
          </w:p>
        </w:tc>
        <w:tc>
          <w:tcPr/>
          <w:p>
            <w:pPr>
              <w:pStyle w:val="Compact"/>
              <w:jc w:val="left"/>
            </w:pPr>
            <w:r>
              <w:t xml:space="preserve">Raw Material Production (from BOM)</w:t>
            </w:r>
          </w:p>
        </w:tc>
        <w:tc>
          <w:tcPr/>
          <w:p>
            <w:pPr>
              <w:pStyle w:val="Compact"/>
              <w:jc w:val="left"/>
            </w:pPr>
            <w:r>
              <w:t xml:space="preserve">See BOM Table above</w:t>
            </w:r>
          </w:p>
        </w:tc>
        <w:tc>
          <w:tcPr/>
          <w:p>
            <w:pPr>
              <w:pStyle w:val="Compact"/>
              <w:jc w:val="left"/>
            </w:pPr>
            <w:r>
              <w:t xml:space="preserve">As per BOM</w:t>
            </w:r>
          </w:p>
        </w:tc>
        <w:tc>
          <w:tcPr/>
          <w:p>
            <w:pPr>
              <w:pStyle w:val="Compact"/>
              <w:jc w:val="left"/>
            </w:pPr>
            <w:r>
              <w:t xml:space="preserve">7.50</w:t>
            </w:r>
          </w:p>
        </w:tc>
        <w:tc>
          <w:tcPr/>
          <w:p>
            <w:pPr>
              <w:pStyle w:val="Compact"/>
              <w:jc w:val="left"/>
            </w:pPr>
            <w:r>
              <w:t xml:space="preserve">Scope 3 (Upstream)</w:t>
            </w:r>
          </w:p>
        </w:tc>
      </w:tr>
      <w:tr>
        <w:tc>
          <w:tcPr>
            <w:vMerge w:val="restart"/>
          </w:tcPr>
          <w:p>
            <w:pPr>
              <w:pStyle w:val="Compact"/>
              <w:jc w:val="left"/>
            </w:pPr>
            <w:r>
              <w:rPr>
                <w:bCs/>
                <w:b/>
              </w:rPr>
              <w:t xml:space="preserve">Manufacturing (China)</w:t>
            </w:r>
          </w:p>
        </w:tc>
        <w:tc>
          <w:tcPr/>
          <w:p>
            <w:pPr>
              <w:pStyle w:val="Compact"/>
              <w:jc w:val="left"/>
            </w:pPr>
            <w:r>
              <w:t xml:space="preserve">Purchased Electricity (Non-Renewable)</w:t>
            </w:r>
          </w:p>
        </w:tc>
        <w:tc>
          <w:tcPr/>
          <w:p>
            <w:pPr>
              <w:pStyle w:val="Compact"/>
              <w:jc w:val="left"/>
            </w:pPr>
            <w:r>
              <w:t xml:space="preserve">5 kWh/unit * 30% = 1.5 kWh</w:t>
            </w:r>
          </w:p>
        </w:tc>
        <w:tc>
          <w:tcPr/>
          <w:p>
            <w:pPr>
              <w:pStyle w:val="Compact"/>
              <w:jc w:val="left"/>
            </w:pPr>
            <w:r>
              <w:t xml:space="preserve">0.6 kgCO2e/kWh (China Grid)</w:t>
            </w:r>
          </w:p>
        </w:tc>
        <w:tc>
          <w:tcPr/>
          <w:p>
            <w:pPr>
              <w:pStyle w:val="Compact"/>
              <w:jc w:val="left"/>
            </w:pPr>
            <w:r>
              <w:t xml:space="preserve">0.90</w:t>
            </w:r>
          </w:p>
        </w:tc>
        <w:tc>
          <w:tcPr/>
          <w:p>
            <w:pPr>
              <w:pStyle w:val="Compact"/>
              <w:jc w:val="left"/>
            </w:pPr>
            <w:r>
              <w:t xml:space="preserve">Scope 2</w:t>
            </w:r>
          </w:p>
        </w:tc>
      </w:tr>
      <w:tr>
        <w:tc>
          <w:tcPr>
            <w:gridSpan w:val="1"/>
            <w:vMerge w:val="continue"/>
          </w:tcPr>
          <w:p>
            <w:pPr/>
          </w:p>
        </w:tc>
        <w:tc>
          <w:tcPr/>
          <w:p>
            <w:pPr>
              <w:pStyle w:val="Compact"/>
              <w:jc w:val="left"/>
            </w:pPr>
            <w:r>
              <w:t xml:space="preserve">Purchased Electricity (Renewable)</w:t>
            </w:r>
          </w:p>
        </w:tc>
        <w:tc>
          <w:tcPr/>
          <w:p>
            <w:pPr>
              <w:pStyle w:val="Compact"/>
              <w:jc w:val="left"/>
            </w:pPr>
            <w:r>
              <w:t xml:space="preserve">5 kWh/unit * 70% = 3.5 kWh</w:t>
            </w:r>
          </w:p>
        </w:tc>
        <w:tc>
          <w:tcPr/>
          <w:p>
            <w:pPr>
              <w:pStyle w:val="Compact"/>
              <w:jc w:val="left"/>
            </w:pPr>
            <w:r>
              <w:t xml:space="preserve">0.05 kgCO2e/kWh (Residual)</w:t>
            </w:r>
          </w:p>
        </w:tc>
        <w:tc>
          <w:tcPr/>
          <w:p>
            <w:pPr>
              <w:pStyle w:val="Compact"/>
              <w:jc w:val="left"/>
            </w:pPr>
            <w:r>
              <w:t xml:space="preserve">0.18</w:t>
            </w:r>
          </w:p>
        </w:tc>
        <w:tc>
          <w:tcPr/>
          <w:p>
            <w:pPr>
              <w:pStyle w:val="Compact"/>
              <w:jc w:val="left"/>
            </w:pPr>
            <w:r>
              <w:t xml:space="preserve">Scope 2</w:t>
            </w:r>
          </w:p>
        </w:tc>
      </w:tr>
      <w:tr>
        <w:tc>
          <w:tcPr>
            <w:gridSpan w:val="1"/>
            <w:vMerge w:val="continue"/>
          </w:tcPr>
          <w:p>
            <w:pPr/>
          </w:p>
        </w:tc>
        <w:tc>
          <w:tcPr/>
          <w:p>
            <w:pPr>
              <w:pStyle w:val="Compact"/>
              <w:jc w:val="left"/>
            </w:pPr>
            <w:r>
              <w:t xml:space="preserve">Direct Factory Operations (Estimated negligible)</w:t>
            </w:r>
          </w:p>
        </w:tc>
        <w:tc>
          <w:tcPr/>
          <w:p>
            <w:pPr>
              <w:pStyle w:val="Compact"/>
              <w:jc w:val="left"/>
            </w:pPr>
            <w:r>
              <w:t xml:space="preserve">N/A</w:t>
            </w:r>
          </w:p>
        </w:tc>
        <w:tc>
          <w:tcPr/>
          <w:p>
            <w:pPr>
              <w:pStyle w:val="Compact"/>
              <w:jc w:val="left"/>
            </w:pPr>
            <w:r>
              <w:t xml:space="preserve">N/A</w:t>
            </w:r>
          </w:p>
        </w:tc>
        <w:tc>
          <w:tcPr/>
          <w:p>
            <w:pPr>
              <w:pStyle w:val="Compact"/>
              <w:jc w:val="left"/>
            </w:pPr>
            <w:r>
              <w:t xml:space="preserve">0.00</w:t>
            </w:r>
          </w:p>
        </w:tc>
        <w:tc>
          <w:tcPr/>
          <w:p>
            <w:pPr>
              <w:pStyle w:val="Compact"/>
              <w:jc w:val="left"/>
            </w:pPr>
            <w:r>
              <w:t xml:space="preserve">Scope 1</w:t>
            </w:r>
          </w:p>
        </w:tc>
      </w:tr>
      <w:tr>
        <w:tc>
          <w:tcPr>
            <w:vMerge w:val="restart"/>
          </w:tcPr>
          <w:p>
            <w:pPr>
              <w:pStyle w:val="Compact"/>
              <w:jc w:val="left"/>
            </w:pPr>
            <w:r>
              <w:rPr>
                <w:bCs/>
                <w:b/>
              </w:rPr>
              <w:t xml:space="preserve">Transport &amp; Distribution</w:t>
            </w:r>
          </w:p>
        </w:tc>
        <w:tc>
          <w:tcPr/>
          <w:p>
            <w:pPr>
              <w:pStyle w:val="Compact"/>
              <w:jc w:val="left"/>
            </w:pPr>
            <w:r>
              <w:t xml:space="preserve">Upstream Transport (Components, Europe to China)</w:t>
            </w:r>
          </w:p>
        </w:tc>
        <w:tc>
          <w:tcPr/>
          <w:p>
            <w:pPr>
              <w:pStyle w:val="Compact"/>
              <w:jc w:val="left"/>
            </w:pPr>
            <w:r>
              <w:t xml:space="preserve">0.8 kg product mass * 5000 km</w:t>
            </w:r>
          </w:p>
        </w:tc>
        <w:tc>
          <w:tcPr/>
          <w:p>
            <w:pPr>
              <w:pStyle w:val="Compact"/>
              <w:jc w:val="left"/>
            </w:pPr>
            <w:r>
              <w:t xml:space="preserve">0.01 kgCO2e/tkm (Ocean Avg)</w:t>
            </w:r>
          </w:p>
        </w:tc>
        <w:tc>
          <w:tcPr/>
          <w:p>
            <w:pPr>
              <w:pStyle w:val="Compact"/>
              <w:jc w:val="left"/>
            </w:pPr>
            <w:r>
              <w:t xml:space="preserve">0.04</w:t>
            </w:r>
          </w:p>
        </w:tc>
        <w:tc>
          <w:tcPr/>
          <w:p>
            <w:pPr>
              <w:pStyle w:val="Compact"/>
              <w:jc w:val="left"/>
            </w:pPr>
            <w:r>
              <w:t xml:space="preserve">Scope 3 (Upstream)</w:t>
            </w:r>
          </w:p>
        </w:tc>
      </w:tr>
      <w:tr>
        <w:tc>
          <w:tcPr>
            <w:gridSpan w:val="1"/>
            <w:vMerge w:val="continue"/>
          </w:tcPr>
          <w:p>
            <w:pPr/>
          </w:p>
        </w:tc>
        <w:tc>
          <w:tcPr/>
          <w:p>
            <w:pPr>
              <w:pStyle w:val="Compact"/>
              <w:jc w:val="left"/>
            </w:pPr>
            <w:r>
              <w:t xml:space="preserve">Downstream Transport (Factory to DC, China to Europe)</w:t>
            </w:r>
          </w:p>
        </w:tc>
        <w:tc>
          <w:tcPr/>
          <w:p>
            <w:pPr>
              <w:pStyle w:val="Compact"/>
              <w:jc w:val="left"/>
            </w:pPr>
            <w:r>
              <w:t xml:space="preserve">0.8 kg product mass * 1500 km</w:t>
            </w:r>
          </w:p>
        </w:tc>
        <w:tc>
          <w:tcPr/>
          <w:p>
            <w:pPr>
              <w:pStyle w:val="Compact"/>
              <w:jc w:val="left"/>
            </w:pPr>
            <w:r>
              <w:t xml:space="preserve">0.07 kgCO2e/tkm (Road Freight Avg)</w:t>
            </w:r>
          </w:p>
        </w:tc>
        <w:tc>
          <w:tcPr/>
          <w:p>
            <w:pPr>
              <w:pStyle w:val="Compact"/>
              <w:jc w:val="left"/>
            </w:pPr>
            <w:r>
              <w:t xml:space="preserve">0.08</w:t>
            </w:r>
          </w:p>
        </w:tc>
        <w:tc>
          <w:tcPr/>
          <w:p>
            <w:pPr>
              <w:pStyle w:val="Compact"/>
              <w:jc w:val="left"/>
            </w:pPr>
            <w:r>
              <w:t xml:space="preserve">Scope 3 (Downstream)</w:t>
            </w:r>
          </w:p>
        </w:tc>
      </w:tr>
      <w:tr>
        <w:tc>
          <w:tcPr>
            <w:gridSpan w:val="1"/>
            <w:vMerge w:val="continue"/>
          </w:tcPr>
          <w:p>
            <w:pPr/>
          </w:p>
        </w:tc>
        <w:tc>
          <w:tcPr/>
          <w:p>
            <w:pPr>
              <w:pStyle w:val="Compact"/>
              <w:jc w:val="left"/>
            </w:pPr>
            <w:r>
              <w:t xml:space="preserve">Last-Mile Delivery (to customer)</w:t>
            </w:r>
          </w:p>
        </w:tc>
        <w:tc>
          <w:tcPr/>
          <w:p>
            <w:pPr>
              <w:pStyle w:val="Compact"/>
              <w:jc w:val="left"/>
            </w:pPr>
            <w:r>
              <w:t xml:space="preserve">1 unit</w:t>
            </w:r>
          </w:p>
        </w:tc>
        <w:tc>
          <w:tcPr/>
          <w:p>
            <w:pPr>
              <w:pStyle w:val="Compact"/>
              <w:jc w:val="left"/>
            </w:pPr>
            <w:r>
              <w:t xml:space="preserve">0.5 kgCO2e/unit (Van Delivery Avg)</w:t>
            </w:r>
          </w:p>
        </w:tc>
        <w:tc>
          <w:tcPr/>
          <w:p>
            <w:pPr>
              <w:pStyle w:val="Compact"/>
              <w:jc w:val="left"/>
            </w:pPr>
            <w:r>
              <w:t xml:space="preserve">0.50</w:t>
            </w:r>
          </w:p>
        </w:tc>
        <w:tc>
          <w:tcPr/>
          <w:p>
            <w:pPr>
              <w:pStyle w:val="Compact"/>
              <w:jc w:val="left"/>
            </w:pPr>
            <w:r>
              <w:t xml:space="preserve">Scope 3 (Downstream)</w:t>
            </w:r>
          </w:p>
        </w:tc>
      </w:tr>
      <w:tr>
        <w:tc>
          <w:tcPr/>
          <w:p>
            <w:pPr>
              <w:pStyle w:val="Compact"/>
              <w:jc w:val="left"/>
            </w:pPr>
            <w:r>
              <w:rPr>
                <w:bCs/>
                <w:b/>
              </w:rPr>
              <w:t xml:space="preserve">Use Phase</w:t>
            </w:r>
          </w:p>
        </w:tc>
        <w:tc>
          <w:tcPr/>
          <w:p>
            <w:pPr>
              <w:pStyle w:val="Compact"/>
              <w:jc w:val="left"/>
            </w:pPr>
            <w:r>
              <w:t xml:space="preserve">Energy Consumption (5 years)</w:t>
            </w:r>
          </w:p>
        </w:tc>
        <w:tc>
          <w:tcPr/>
          <w:p>
            <w:pPr>
              <w:pStyle w:val="Compact"/>
              <w:jc w:val="left"/>
            </w:pPr>
            <w:r>
              <w:t xml:space="preserve">10 kWh/year * 5 years = 50 kWh</w:t>
            </w:r>
          </w:p>
        </w:tc>
        <w:tc>
          <w:tcPr/>
          <w:p>
            <w:pPr>
              <w:pStyle w:val="Compact"/>
              <w:jc w:val="left"/>
            </w:pPr>
            <w:r>
              <w:t xml:space="preserve">0.3 kgCO2e/kWh (EU Grid Avg)</w:t>
            </w:r>
          </w:p>
        </w:tc>
        <w:tc>
          <w:tcPr/>
          <w:p>
            <w:pPr>
              <w:pStyle w:val="Compact"/>
              <w:jc w:val="left"/>
            </w:pPr>
            <w:r>
              <w:t xml:space="preserve">15.00</w:t>
            </w:r>
          </w:p>
        </w:tc>
        <w:tc>
          <w:tcPr/>
          <w:p>
            <w:pPr>
              <w:pStyle w:val="Compact"/>
              <w:jc w:val="left"/>
            </w:pPr>
            <w:r>
              <w:t xml:space="preserve">Scope 3 (Downstream)</w:t>
            </w:r>
          </w:p>
        </w:tc>
      </w:tr>
      <w:tr>
        <w:tc>
          <w:tcPr>
            <w:vMerge w:val="restart"/>
          </w:tcPr>
          <w:p>
            <w:pPr>
              <w:pStyle w:val="Compact"/>
              <w:jc w:val="left"/>
            </w:pPr>
            <w:r>
              <w:rPr>
                <w:bCs/>
                <w:b/>
              </w:rPr>
              <w:t xml:space="preserve">End-of-Life</w:t>
            </w:r>
          </w:p>
        </w:tc>
        <w:tc>
          <w:tcPr/>
          <w:p>
            <w:pPr>
              <w:pStyle w:val="Compact"/>
              <w:jc w:val="left"/>
            </w:pPr>
            <w:r>
              <w:t xml:space="preserve">Landfill (20% of product mass, 0.8 kg * 0.2 = 0.16 kg)</w:t>
            </w:r>
          </w:p>
        </w:tc>
        <w:tc>
          <w:tcPr/>
          <w:p>
            <w:pPr>
              <w:pStyle w:val="Compact"/>
              <w:jc w:val="left"/>
            </w:pPr>
            <w:r>
              <w:t xml:space="preserve">0.16 kg</w:t>
            </w:r>
          </w:p>
        </w:tc>
        <w:tc>
          <w:tcPr/>
          <w:p>
            <w:pPr>
              <w:pStyle w:val="Compact"/>
              <w:jc w:val="left"/>
            </w:pPr>
            <w:r>
              <w:t xml:space="preserve">1.5 kgCO2e/kg (Landfill)</w:t>
            </w:r>
          </w:p>
        </w:tc>
        <w:tc>
          <w:tcPr/>
          <w:p>
            <w:pPr>
              <w:pStyle w:val="Compact"/>
              <w:jc w:val="left"/>
            </w:pPr>
            <w:r>
              <w:t xml:space="preserve">0.24</w:t>
            </w:r>
          </w:p>
        </w:tc>
        <w:tc>
          <w:tcPr/>
          <w:p>
            <w:pPr>
              <w:pStyle w:val="Compact"/>
              <w:jc w:val="left"/>
            </w:pPr>
            <w:r>
              <w:t xml:space="preserve">Scope 3 (Downstream)</w:t>
            </w:r>
          </w:p>
        </w:tc>
      </w:tr>
      <w:tr>
        <w:tc>
          <w:tcPr>
            <w:gridSpan w:val="1"/>
            <w:vMerge w:val="continue"/>
          </w:tcPr>
          <w:p>
            <w:pPr/>
          </w:p>
        </w:tc>
        <w:tc>
          <w:tcPr/>
          <w:p>
            <w:pPr>
              <w:pStyle w:val="Compact"/>
              <w:jc w:val="left"/>
            </w:pPr>
            <w:r>
              <w:t xml:space="preserve">Recycling Credits (80% of product mass, 0.8 kg * 0.8 = 0.64 kg)</w:t>
            </w:r>
          </w:p>
        </w:tc>
        <w:tc>
          <w:tcPr/>
          <w:p>
            <w:pPr>
              <w:pStyle w:val="Compact"/>
              <w:jc w:val="left"/>
            </w:pPr>
            <w:r>
              <w:t xml:space="preserve">0.64 kg</w:t>
            </w:r>
          </w:p>
        </w:tc>
        <w:tc>
          <w:tcPr/>
          <w:p>
            <w:pPr>
              <w:pStyle w:val="Compact"/>
              <w:jc w:val="left"/>
            </w:pPr>
            <w:r>
              <w:t xml:space="preserve">-1.0 kgCO2e/kg (Recycling Credit)</w:t>
            </w:r>
          </w:p>
        </w:tc>
        <w:tc>
          <w:tcPr/>
          <w:p>
            <w:pPr>
              <w:pStyle w:val="Compact"/>
              <w:jc w:val="left"/>
            </w:pPr>
            <w:r>
              <w:t xml:space="preserve">-0.64</w:t>
            </w:r>
          </w:p>
        </w:tc>
        <w:tc>
          <w:tcPr/>
          <w:p>
            <w:pPr>
              <w:pStyle w:val="Compact"/>
              <w:jc w:val="left"/>
            </w:pPr>
            <w:r>
              <w:t xml:space="preserve">Scope 3 (Downstream)</w:t>
            </w:r>
          </w:p>
        </w:tc>
      </w:tr>
      <w:tr>
        <w:tc>
          <w:tcPr>
            <w:gridSpan w:val="4"/>
          </w:tcPr>
          <w:p>
            <w:pPr>
              <w:pStyle w:val="Compact"/>
              <w:jc w:val="right"/>
            </w:pPr>
            <w:r>
              <w:rPr>
                <w:bCs/>
                <w:b/>
              </w:rPr>
              <w:t xml:space="preserve">Total Product Carbon Footprint (PCF):</w:t>
            </w:r>
          </w:p>
        </w:tc>
        <w:tc>
          <w:tcPr/>
          <w:p>
            <w:pPr>
              <w:pStyle w:val="Compact"/>
              <w:jc w:val="left"/>
            </w:pPr>
            <w:r>
              <w:rPr>
                <w:bCs/>
                <w:b/>
              </w:rPr>
              <w:t xml:space="preserve">23.80 kgCO2e</w:t>
            </w:r>
          </w:p>
        </w:tc>
        <w:tc>
          <w:tcPr/>
          <w:p>
            <w:pPr>
              <w:pStyle w:val="Compact"/>
            </w:pPr>
          </w:p>
        </w:tc>
      </w:tr>
    </w:tbl>
    <w:bookmarkEnd w:id="30"/>
    <w:bookmarkStart w:id="31" w:name="ghg-protocol-scope-summary"/>
    <w:p>
      <w:pPr>
        <w:pStyle w:val="Heading3"/>
      </w:pPr>
      <w:r>
        <w:t xml:space="preserve">3.3. GHG Protocol Scope Summary</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Total CO2e (kg)</w:t>
            </w:r>
          </w:p>
        </w:tc>
        <w:tc>
          <w:tcPr/>
          <w:p>
            <w:pPr>
              <w:pStyle w:val="Compact"/>
              <w:jc w:val="left"/>
            </w:pPr>
            <w:r>
              <w:t xml:space="preserve">% of Total PCF</w:t>
            </w:r>
          </w:p>
        </w:tc>
      </w:tr>
      <w:tr>
        <w:tc>
          <w:tcPr/>
          <w:p>
            <w:pPr>
              <w:pStyle w:val="Compact"/>
              <w:jc w:val="left"/>
            </w:pPr>
            <w:r>
              <w:rPr>
                <w:bCs/>
                <w:b/>
              </w:rPr>
              <w:t xml:space="preserve">Scope 1</w:t>
            </w:r>
          </w:p>
        </w:tc>
        <w:tc>
          <w:tcPr/>
          <w:p>
            <w:pPr>
              <w:pStyle w:val="Compact"/>
              <w:jc w:val="left"/>
            </w:pPr>
            <w:r>
              <w:t xml:space="preserve">Direct emissions from owned or controlled sources.</w:t>
            </w:r>
          </w:p>
        </w:tc>
        <w:tc>
          <w:tcPr/>
          <w:p>
            <w:pPr>
              <w:pStyle w:val="Compact"/>
              <w:jc w:val="left"/>
            </w:pPr>
            <w:r>
              <w:t xml:space="preserve">0.00</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Indirect emissions from the generation of purchased energy.</w:t>
            </w:r>
          </w:p>
        </w:tc>
        <w:tc>
          <w:tcPr/>
          <w:p>
            <w:pPr>
              <w:pStyle w:val="Compact"/>
              <w:jc w:val="left"/>
            </w:pPr>
            <w:r>
              <w:t xml:space="preserve">1.08</w:t>
            </w:r>
          </w:p>
        </w:tc>
        <w:tc>
          <w:tcPr/>
          <w:p>
            <w:pPr>
              <w:pStyle w:val="Compact"/>
              <w:jc w:val="left"/>
            </w:pPr>
            <w:r>
              <w:t xml:space="preserve">4.54%</w:t>
            </w:r>
          </w:p>
        </w:tc>
      </w:tr>
      <w:tr>
        <w:tc>
          <w:tcPr/>
          <w:p>
            <w:pPr>
              <w:pStyle w:val="Compact"/>
              <w:jc w:val="left"/>
            </w:pPr>
            <w:r>
              <w:rPr>
                <w:bCs/>
                <w:b/>
              </w:rPr>
              <w:t xml:space="preserve">Scope 3</w:t>
            </w:r>
          </w:p>
        </w:tc>
        <w:tc>
          <w:tcPr/>
          <w:p>
            <w:pPr>
              <w:pStyle w:val="Compact"/>
              <w:jc w:val="left"/>
            </w:pPr>
            <w:r>
              <w:t xml:space="preserve">All other indirect emissions that occur in the value chain of the reporting company.</w:t>
            </w:r>
          </w:p>
        </w:tc>
        <w:tc>
          <w:tcPr/>
          <w:p>
            <w:pPr>
              <w:pStyle w:val="Compact"/>
              <w:jc w:val="left"/>
            </w:pPr>
            <w:r>
              <w:t xml:space="preserve">22.72</w:t>
            </w:r>
          </w:p>
        </w:tc>
        <w:tc>
          <w:tcPr/>
          <w:p>
            <w:pPr>
              <w:pStyle w:val="Compact"/>
              <w:jc w:val="left"/>
            </w:pPr>
            <w:r>
              <w:t xml:space="preserve">95.46%</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23.80 kgCO2e</w:t>
            </w:r>
          </w:p>
        </w:tc>
        <w:tc>
          <w:tcPr/>
          <w:p>
            <w:pPr>
              <w:pStyle w:val="Compact"/>
              <w:jc w:val="left"/>
            </w:pPr>
            <w:r>
              <w:rPr>
                <w:bCs/>
                <w:b/>
              </w:rPr>
              <w:t xml:space="preserve">100.00%</w:t>
            </w:r>
          </w:p>
        </w:tc>
      </w:tr>
    </w:tbl>
    <w:p>
      <w:pPr>
        <w:pStyle w:val="BodyText"/>
      </w:pPr>
      <w:r>
        <w:rPr>
          <w:bCs/>
          <w:b/>
        </w:rPr>
        <w:t xml:space="preserve">Scope 3 Compliance:</w:t>
      </w:r>
      <w:r>
        <w:t xml:space="preserve"> </w:t>
      </w:r>
      <w:r>
        <w:t xml:space="preserve">The Scope 3 emissions account for 95.46% of the total PCF, meeting the 2026 requirement of at least 95% coverage for comprehensive value chain reporting.</w:t>
      </w:r>
    </w:p>
    <w:p>
      <w:pPr>
        <w:pStyle w:val="BodyText"/>
      </w:pPr>
      <w:r>
        <w:rPr>
          <w:bCs/>
          <w:b/>
        </w:rPr>
        <w:t xml:space="preserve">2026 LSR Update:</w:t>
      </w:r>
      <w:r>
        <w:t xml:space="preserve"> </w:t>
      </w:r>
      <w:r>
        <w:t xml:space="preserve">The analysis implicitly considers land use impacts through the emission factors for raw materials (e.g., paper/wood products, agricultural components) and includes any relevant carbon removals in the End-of-Life phase (e.g., biogenic carbon in waste streams) within the overall CO2e calculations where applicable to the selected emission factors. Specific land-use change emissions were not explicitly detailed as separate line items due to the nature of the provided BOM data but are embedded within the comprehensive material emission factors.</w:t>
      </w:r>
    </w:p>
    <w:p>
      <w:r>
        <w:pict>
          <v:rect style="width:0;height:1.5pt" o:hralign="center" o:hrstd="t" o:hr="t"/>
        </w:pict>
      </w:r>
    </w:p>
    <w:bookmarkEnd w:id="31"/>
    <w:bookmarkEnd w:id="32"/>
    <w:bookmarkStart w:id="38" w:name="review-reporting"/>
    <w:p>
      <w:pPr>
        <w:pStyle w:val="Heading2"/>
      </w:pPr>
      <w:r>
        <w:t xml:space="preserve">4. Review &amp; Reporting</w:t>
      </w:r>
    </w:p>
    <w:p>
      <w:pPr>
        <w:pStyle w:val="FirstParagraph"/>
      </w:pPr>
      <w:r>
        <w:t xml:space="preserve">This final stage synthesizes the findings, identifies hotspots, assesses data reliability, and offers recommendations for emission reduction.</w:t>
      </w:r>
    </w:p>
    <w:bookmarkStart w:id="33" w:name="key-hotspots-identification"/>
    <w:p>
      <w:pPr>
        <w:pStyle w:val="Heading3"/>
      </w:pPr>
      <w:r>
        <w:t xml:space="preserve">4.1. Key Hotspots Identification</w:t>
      </w:r>
    </w:p>
    <w:p>
      <w:pPr>
        <w:pStyle w:val="FirstParagraph"/>
      </w:pPr>
      <w:r>
        <w:t xml:space="preserve">Based on the calculations, the primary contributors to the Product Carbon Footprint of \'ngjidfvxyt\' are:</w:t>
      </w:r>
    </w:p>
    <w:p>
      <w:pPr>
        <w:numPr>
          <w:ilvl w:val="0"/>
          <w:numId w:val="1010"/>
        </w:numPr>
        <w:pStyle w:val="Compact"/>
      </w:pPr>
      <w:r>
        <w:rPr>
          <w:bCs/>
          <w:b/>
        </w:rPr>
        <w:t xml:space="preserve">Use Phase (15.00 kgCO2e, 63.03%):</w:t>
      </w:r>
      <w:r>
        <w:t xml:space="preserve"> </w:t>
      </w:r>
      <w:r>
        <w:t xml:space="preserve">The energy consumption during the product\'s 5-year lifespan is by far the largest hotspot. This highlights the significant impact of electricity grids and user behavior.</w:t>
      </w:r>
    </w:p>
    <w:p>
      <w:pPr>
        <w:numPr>
          <w:ilvl w:val="0"/>
          <w:numId w:val="1010"/>
        </w:numPr>
        <w:pStyle w:val="Compact"/>
      </w:pPr>
      <w:r>
        <w:rPr>
          <w:bCs/>
          <w:b/>
        </w:rPr>
        <w:t xml:space="preserve">Materials Acquisition &amp; Pre-processing (7.50 kgCO2e, 31.51%):</w:t>
      </w:r>
      <w:r>
        <w:t xml:space="preserve"> </w:t>
      </w:r>
      <w:r>
        <w:t xml:space="preserve">The production of key components, particularly the Lithium Battery and Circuit Board, contributes substantially to the overall footprint.</w:t>
      </w:r>
    </w:p>
    <w:p>
      <w:pPr>
        <w:numPr>
          <w:ilvl w:val="0"/>
          <w:numId w:val="1010"/>
        </w:numPr>
        <w:pStyle w:val="Compact"/>
      </w:pPr>
      <w:r>
        <w:rPr>
          <w:bCs/>
          <w:b/>
        </w:rPr>
        <w:t xml:space="preserve">Manufacturing and Transport (combined ~1.7 kgCO2e, 7.14%):</w:t>
      </w:r>
      <w:r>
        <w:t xml:space="preserve"> </w:t>
      </w:r>
      <w:r>
        <w:t xml:space="preserve">While smaller than the use phase and materials, these stages are still important to optimize. Last-mile delivery (0.50 kgCO2e) is a notable part of the distribution impact.</w:t>
      </w:r>
    </w:p>
    <w:bookmarkEnd w:id="33"/>
    <w:bookmarkStart w:id="34" w:name="data-reliability-and-limitations"/>
    <w:p>
      <w:pPr>
        <w:pStyle w:val="Heading3"/>
      </w:pPr>
      <w:r>
        <w:t xml:space="preserve">4.2. Data Reliability and Limitations</w:t>
      </w:r>
    </w:p>
    <w:p>
      <w:pPr>
        <w:pStyle w:val="FirstParagraph"/>
      </w:pPr>
      <w:r>
        <w:t xml:space="preserve">The reliability of this PCF analysis is considered high due to the use of specific primary data for energy usage and a detailed Bill of Materials. However, some limitations exist:</w:t>
      </w:r>
    </w:p>
    <w:p>
      <w:pPr>
        <w:numPr>
          <w:ilvl w:val="0"/>
          <w:numId w:val="1011"/>
        </w:numPr>
        <w:pStyle w:val="Compact"/>
      </w:pPr>
      <w:r>
        <w:rPr>
          <w:bCs/>
          <w:b/>
        </w:rPr>
        <w:t xml:space="preserve">Secondary Data Reliance:</w:t>
      </w:r>
      <w:r>
        <w:t xml:space="preserve"> </w:t>
      </w:r>
      <w:r>
        <w:t xml:space="preserve">While sourced from robust databases (Ecoinvent, DEFRA), generic industry emission factors for materials, transport modes, and end-of-life processes may not perfectly reflect the specific suppliers or routes used by \'iwwdfunwrt\' for all components.</w:t>
      </w:r>
    </w:p>
    <w:p>
      <w:pPr>
        <w:numPr>
          <w:ilvl w:val="0"/>
          <w:numId w:val="1011"/>
        </w:numPr>
        <w:pStyle w:val="Compact"/>
      </w:pPr>
      <w:r>
        <w:rPr>
          <w:bCs/>
          <w:b/>
        </w:rPr>
        <w:t xml:space="preserve">Parameter Assumptions:</w:t>
      </w:r>
      <w:r>
        <w:t xml:space="preserve"> </w:t>
      </w:r>
      <w:r>
        <w:t xml:space="preserve">Illustrative values were used for generic string parameters (e.g., \'Select Mode\', \'krmnotfixf\', \'Delivery Type\', \'trokjhttex\', \'plwdpqioxd\', \'kmtzhklgxt\', \'jmkqlujgdx\', \'mojyhqkmke\', \'qnoeypdmsx\'). Actual values would refine accuracy.</w:t>
      </w:r>
    </w:p>
    <w:p>
      <w:pPr>
        <w:numPr>
          <w:ilvl w:val="0"/>
          <w:numId w:val="1011"/>
        </w:numPr>
        <w:pStyle w:val="Compact"/>
      </w:pPr>
      <w:r>
        <w:rPr>
          <w:bCs/>
          <w:b/>
        </w:rPr>
        <w:t xml:space="preserve">Allocation:</w:t>
      </w:r>
      <w:r>
        <w:t xml:space="preserve"> </w:t>
      </w:r>
      <w:r>
        <w:t xml:space="preserve">Economic allocation for co-products can introduce variability depending on market conditions.</w:t>
      </w:r>
    </w:p>
    <w:p>
      <w:pPr>
        <w:numPr>
          <w:ilvl w:val="0"/>
          <w:numId w:val="1011"/>
        </w:numPr>
        <w:pStyle w:val="Compact"/>
      </w:pPr>
      <w:r>
        <w:rPr>
          <w:bCs/>
          <w:b/>
        </w:rPr>
        <w:t xml:space="preserve">LSR Standard:</w:t>
      </w:r>
      <w:r>
        <w:t xml:space="preserve"> </w:t>
      </w:r>
      <w:r>
        <w:t xml:space="preserve">While applied, detailed biogenic carbon flows and specific land-use change for every material were not individually modeled but are incorporated within comprehensive emission factors.</w:t>
      </w:r>
    </w:p>
    <w:bookmarkEnd w:id="34"/>
    <w:bookmarkStart w:id="37" w:name="recommendations-for-emission-reduction"/>
    <w:p>
      <w:pPr>
        <w:pStyle w:val="Heading3"/>
      </w:pPr>
      <w:r>
        <w:t xml:space="preserve">4.3. Recommendations for Emission Reduction</w:t>
      </w:r>
    </w:p>
    <w:p>
      <w:pPr>
        <w:pStyle w:val="FirstParagraph"/>
      </w:pPr>
      <w:r>
        <w:t xml:space="preserve">To reduce the Product Carbon Footprint of \'ngjidfvxyt\', \'iwwdfunwrt\' should focus on the following strategic areas:</w:t>
      </w:r>
    </w:p>
    <w:p>
      <w:pPr>
        <w:numPr>
          <w:ilvl w:val="0"/>
          <w:numId w:val="1012"/>
        </w:numPr>
        <w:pStyle w:val="Compact"/>
      </w:pPr>
      <w:r>
        <w:rPr>
          <w:bCs/>
          <w:b/>
        </w:rPr>
        <w:t xml:space="preserve">Energy Efficiency in Use Phase:</w:t>
      </w:r>
      <w:r>
        <w:t xml:space="preserve"> </w:t>
      </w:r>
      <w:r>
        <w:t xml:space="preserve">Invest in R&amp;D to significantly reduce the product\'s energy consumption during its operational lifespan. Promote renewable energy adoption among end-users or consider offering renewable energy offsets for product use.</w:t>
      </w:r>
    </w:p>
    <w:p>
      <w:pPr>
        <w:numPr>
          <w:ilvl w:val="0"/>
          <w:numId w:val="1012"/>
        </w:numPr>
        <w:pStyle w:val="Compact"/>
      </w:pPr>
      <w:r>
        <w:rPr>
          <w:bCs/>
          <w:b/>
        </w:rPr>
        <w:t xml:space="preserve">Sustainable Material Sourcing:</w:t>
      </w:r>
    </w:p>
    <w:p>
      <w:pPr>
        <w:numPr>
          <w:ilvl w:val="1"/>
          <w:numId w:val="1013"/>
        </w:numPr>
        <w:pStyle w:val="Compact"/>
      </w:pPr>
      <w:r>
        <w:t xml:space="preserve">Engage with suppliers of high-impact components (e.g., Lithium Batteries, Circuit Boards) to request lower-carbon alternatives, increase recycled content, and improve manufacturing efficiencies.</w:t>
      </w:r>
    </w:p>
    <w:p>
      <w:pPr>
        <w:numPr>
          <w:ilvl w:val="1"/>
          <w:numId w:val="1013"/>
        </w:numPr>
        <w:pStyle w:val="Compact"/>
      </w:pPr>
      <w:r>
        <w:t xml:space="preserve">Explore lightweighting opportunities and the use of bio-based or recycled plastics for the casing.</w:t>
      </w:r>
    </w:p>
    <w:p>
      <w:pPr>
        <w:numPr>
          <w:ilvl w:val="0"/>
          <w:numId w:val="1012"/>
        </w:numPr>
        <w:pStyle w:val="Compact"/>
      </w:pPr>
      <w:r>
        <w:rPr>
          <w:bCs/>
          <w:b/>
        </w:rPr>
        <w:t xml:space="preserve">Circular Economy Integration:</w:t>
      </w:r>
    </w:p>
    <w:p>
      <w:pPr>
        <w:numPr>
          <w:ilvl w:val="1"/>
          <w:numId w:val="1014"/>
        </w:numPr>
        <w:pStyle w:val="Compact"/>
      </w:pPr>
      <w:r>
        <w:t xml:space="preserve">Strengthen the existing take-back program (\'qnoeypdmsx\') to ensure maximum recovery and high-quality recycling of product components, aiming for higher than the current 80% recyclability.</w:t>
      </w:r>
    </w:p>
    <w:p>
      <w:pPr>
        <w:numPr>
          <w:ilvl w:val="1"/>
          <w:numId w:val="1014"/>
        </w:numPr>
        <w:pStyle w:val="Compact"/>
      </w:pPr>
      <w:r>
        <w:t xml:space="preserve">Investigate design-for-disassembly and modularity to facilitate repair, refurbishment, and easier material recovery.</w:t>
      </w:r>
    </w:p>
    <w:p>
      <w:pPr>
        <w:numPr>
          <w:ilvl w:val="0"/>
          <w:numId w:val="1012"/>
        </w:numPr>
        <w:pStyle w:val="Compact"/>
      </w:pPr>
      <w:r>
        <w:rPr>
          <w:bCs/>
          <w:b/>
        </w:rPr>
        <w:t xml:space="preserve">Logistics Optimization:</w:t>
      </w:r>
    </w:p>
    <w:p>
      <w:pPr>
        <w:numPr>
          <w:ilvl w:val="1"/>
          <w:numId w:val="1015"/>
        </w:numPr>
        <w:pStyle w:val="Compact"/>
      </w:pPr>
      <w:r>
        <w:t xml:space="preserve">Optimize transportation routes and modes, prioritizing lower-emission options (e.g., rail or ocean over road freight where feasible for long distances).</w:t>
      </w:r>
    </w:p>
    <w:p>
      <w:pPr>
        <w:numPr>
          <w:ilvl w:val="1"/>
          <w:numId w:val="1015"/>
        </w:numPr>
        <w:pStyle w:val="Compact"/>
      </w:pPr>
      <w:r>
        <w:t xml:space="preserve">Collaborate with logistics partners on fleet electrification for last-mile delivery and overall transport efficiency improvements.</w:t>
      </w:r>
    </w:p>
    <w:p>
      <w:pPr>
        <w:numPr>
          <w:ilvl w:val="0"/>
          <w:numId w:val="1012"/>
        </w:numPr>
        <w:pStyle w:val="Compact"/>
      </w:pPr>
      <w:r>
        <w:rPr>
          <w:bCs/>
          <w:b/>
        </w:rPr>
        <w:t xml:space="preserve">Manufacturing Energy Transition:</w:t>
      </w:r>
      <w:r>
        <w:t xml:space="preserve"> </w:t>
      </w:r>
      <w:r>
        <w:t xml:space="preserve">Continue to increase the share of renewable energy in manufacturing operations beyond the current 70% and explore opportunities for energy efficiency within the factory.</w:t>
      </w:r>
    </w:p>
    <w:p>
      <w:r>
        <w:pict>
          <v:rect style="width:0;height:1.5pt" o:hralign="center" o:hrstd="t" o:hr="t"/>
        </w:pict>
      </w:r>
    </w:p>
    <w:p>
      <w:pPr>
        <w:pStyle w:val="FirstParagraph"/>
      </w:pPr>
      <w:r>
        <w:t xml:space="preserve">Confidential - Internal Use Only | Page</w:t>
      </w:r>
      <w:r>
        <w:t xml:space="preserve"> </w:t>
      </w:r>
      <w:bookmarkStart w:id="35" w:name="page-number"/>
      <w:r>
        <w:t xml:space="preserve">1</w:t>
      </w:r>
      <w:bookmarkEnd w:id="35"/>
      <w:r>
        <w:t xml:space="preserve"> </w:t>
      </w:r>
      <w:r>
        <w:t xml:space="preserve">of</w:t>
      </w:r>
      <w:r>
        <w:t xml:space="preserve"> </w:t>
      </w:r>
      <w:bookmarkStart w:id="36" w:name="total-pages"/>
      <w:r>
        <w:t xml:space="preserve">1</w:t>
      </w:r>
      <w:bookmarkEnd w:id="36"/>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ngjidfvxyt</dc:title>
  <dc:creator/>
  <dc:description>Detailed Product Carbon Footprint (PCF) analysis report for ngjidfvxyt by iwwdfunwrt, adhering to GHG Protocol standards and 2026 LSR updates.</dc:description>
  <dc:language>en</dc:language>
  <cp:keywords/>
  <dcterms:created xsi:type="dcterms:W3CDTF">2026-07-16T20:04:37Z</dcterms:created>
  <dcterms:modified xsi:type="dcterms:W3CDTF">2026-07-16T20:04:37Z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