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nfszunkkfg</w:t>
      </w:r>
    </w:p>
    <w:p>
      <w:pPr>
        <w:pStyle w:val="FirstParagraph"/>
      </w:pPr>
      <w:r>
        <w:t xml:space="preserve">carboncalcpcf.com</w:t>
      </w:r>
    </w:p>
    <w:bookmarkStart w:id="20" w:name="product-carbon-footprint-report"/>
    <w:p>
      <w:pPr>
        <w:pStyle w:val="Heading1"/>
      </w:pPr>
      <w:r>
        <w:t xml:space="preserve">Product Carbon Footprint Report</w:t>
      </w:r>
    </w:p>
    <w:bookmarkEnd w:id="20"/>
    <w:bookmarkStart w:id="21" w:name="for-nfszunkkfg"/>
    <w:p>
      <w:pPr>
        <w:pStyle w:val="Heading1"/>
      </w:pPr>
      <w:r>
        <w:t xml:space="preserve">for nfszunkkfg</w:t>
      </w:r>
    </w:p>
    <w:p>
      <w:pPr>
        <w:pStyle w:val="FirstParagraph"/>
      </w:pPr>
      <w:r>
        <w:rPr>
          <w:bCs/>
          <w:b/>
        </w:rPr>
        <w:t xml:space="preserve">Company Name:</w:t>
      </w:r>
      <w:r>
        <w:t xml:space="preserve"> </w:t>
      </w:r>
      <w:r>
        <w:t xml:space="preserve">gitekhdhyf</w:t>
      </w:r>
    </w:p>
    <w:p>
      <w:pPr>
        <w:pStyle w:val="BodyText"/>
      </w:pPr>
      <w:r>
        <w:rPr>
          <w:bCs/>
          <w:b/>
        </w:rPr>
        <w:t xml:space="preserve">Senior Sustainability Consultant:</w:t>
      </w:r>
      <w:r>
        <w:t xml:space="preserve"> </w:t>
      </w:r>
      <w:r>
        <w:t xml:space="preserve">owfyqdrutu</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providing an estimate of the product\'s carbon footprint.</w:t>
      </w:r>
    </w:p>
    <w:bookmarkEnd w:id="21"/>
    <w:bookmarkStart w:id="47" w:name="Xae9845ceffad3352ea1f7894e85101beb7e3bd4"/>
    <w:p>
      <w:pPr>
        <w:pStyle w:val="Heading1"/>
      </w:pPr>
      <w:r>
        <w:t xml:space="preserve">Product Carbon Footprint Analysis for nfszunkkfg</w:t>
      </w:r>
    </w:p>
    <w:p>
      <w:pPr>
        <w:pStyle w:val="FirstParagraph"/>
      </w:pPr>
      <w:r>
        <w:rPr>
          <w:bCs/>
          <w:b/>
        </w:rPr>
        <w:t xml:space="preserve">Generated Date:</w:t>
      </w:r>
      <w:r>
        <w:t xml:space="preserve"> </w:t>
      </w:r>
      <w:r>
        <w:t xml:space="preserve">June 1, 2026</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nfszunkkfg</w:t>
      </w:r>
      <w:r>
        <w:t xml:space="preserve">, manufactured by</w:t>
      </w:r>
      <w:r>
        <w:t xml:space="preserve"> </w:t>
      </w:r>
      <w:r>
        <w:rPr>
          <w:bCs/>
          <w:b/>
        </w:rPr>
        <w:t xml:space="preserve">gitekhdhyf</w:t>
      </w:r>
      <w:r>
        <w:t xml:space="preserve">. The analysis, conducted by Senior Sustainability Consultant</w:t>
      </w:r>
      <w:r>
        <w:t xml:space="preserve"> </w:t>
      </w:r>
      <w:r>
        <w:rPr>
          <w:bCs/>
          <w:b/>
        </w:rPr>
        <w:t xml:space="preserve">owfyqdrutu</w:t>
      </w:r>
      <w:r>
        <w:t xml:space="preserve">, adheres strictly to the GHG Protocol, including the 2026 Land Sector and Removals (LSR) Standard and aims for at least 95% Scope 3 coverage. The primary goal is to quantify the greenhouse gas (GHG) emissions associated with nfszunkkfg across its lifecycle stages, from material acquisition to the factory gate, while also providing insights into the use and end-of-life phases to understand broader circular economy impacts. This assessment identifies key emission hotspots and offers a foundational understanding for targeted emission reduction strategies.</w:t>
      </w:r>
    </w:p>
    <w:p>
      <w:r>
        <w:pict>
          <v:rect style="width:0;height:1.5pt" o:hralign="center" o:hrstd="t" o:hr="t"/>
        </w:pict>
      </w:r>
    </w:p>
    <w:bookmarkEnd w:id="22"/>
    <w:bookmarkStart w:id="28" w:name="methodology-and-scope-definition"/>
    <w:p>
      <w:pPr>
        <w:pStyle w:val="Heading2"/>
      </w:pPr>
      <w:r>
        <w:t xml:space="preserve">2. Methodology and Scope Definition</w:t>
      </w:r>
    </w:p>
    <w:p>
      <w:pPr>
        <w:pStyle w:val="FirstParagraph"/>
      </w:pPr>
      <w:r>
        <w:t xml:space="preserve">The Product Carbon Footprint (PCF) analysis for nfszunkkfg is conducted in accordance with the Greenhouse Gas Protocol Product Life Cycle Accounting and Reporting Standard. This methodology provides a robust framework for quantifying the GHG emissions associated with products and services.</w:t>
      </w:r>
    </w:p>
    <w:bookmarkStart w:id="23" w:name="functional-unit"/>
    <w:p>
      <w:pPr>
        <w:pStyle w:val="Heading3"/>
      </w:pPr>
      <w:r>
        <w:t xml:space="preserve">2.1. Functional Unit</w:t>
      </w:r>
    </w:p>
    <w:p>
      <w:pPr>
        <w:pStyle w:val="FirstParagraph"/>
      </w:pPr>
      <w:r>
        <w:t xml:space="preserve">The functional unit for this analysis is</w:t>
      </w:r>
      <w:r>
        <w:t xml:space="preserve"> </w:t>
      </w:r>
      <w:r>
        <w:rPr>
          <w:bCs/>
          <w:b/>
        </w:rPr>
        <w:t xml:space="preserve">1.0 unit of nfszunkkfg</w:t>
      </w:r>
      <w:r>
        <w:t xml:space="preserve">.</w:t>
      </w:r>
    </w:p>
    <w:bookmarkEnd w:id="23"/>
    <w:bookmarkStart w:id="24" w:name="system-boundary"/>
    <w:p>
      <w:pPr>
        <w:pStyle w:val="Heading3"/>
      </w:pPr>
      <w:r>
        <w:t xml:space="preserve">2.2. System Boundary</w:t>
      </w:r>
    </w:p>
    <w:p>
      <w:pPr>
        <w:pStyle w:val="FirstParagraph"/>
      </w:pPr>
      <w:r>
        <w:t xml:space="preserve">The defined system boundary for the PCF calculation is</w:t>
      </w:r>
      <w:r>
        <w:t xml:space="preserve"> </w:t>
      </w:r>
      <w:r>
        <w:rPr>
          <w:bCs/>
          <w:b/>
        </w:rPr>
        <w:t xml:space="preserve">"factory_gate" (Cradle-to-Gate)</w:t>
      </w:r>
      <w:r>
        <w:t xml:space="preserve">. This includes emissions from raw material extraction, upstream transportation, and manufacturing processes up to the point where the finished product leaves the manufacturing facility. While the formal PCF boundary is factory-gate, a separate assessment of the Use Phase and End-of-Life (EoL) impacts is included to provide a holistic view of the product\'s lifecycle and inform circularity strategies, as per the report requirements.</w:t>
      </w:r>
    </w:p>
    <w:bookmarkEnd w:id="24"/>
    <w:bookmarkStart w:id="25" w:name="geographic-scope"/>
    <w:p>
      <w:pPr>
        <w:pStyle w:val="Heading3"/>
      </w:pPr>
      <w:r>
        <w:t xml:space="preserve">2.3. Geographic Scope</w:t>
      </w:r>
    </w:p>
    <w:p>
      <w:pPr>
        <w:pStyle w:val="FirstParagraph"/>
      </w:pPr>
      <w:r>
        <w:t xml:space="preserve">The</w:t>
      </w:r>
      <w:r>
        <w:t xml:space="preserve"> </w:t>
      </w:r>
      <w:r>
        <w:rPr>
          <w:bCs/>
          <w:b/>
        </w:rPr>
        <w:t xml:space="preserve">Final Production Country is China</w:t>
      </w:r>
      <w:r>
        <w:t xml:space="preserve">, with a</w:t>
      </w:r>
      <w:r>
        <w:t xml:space="preserve"> </w:t>
      </w:r>
      <w:r>
        <w:rPr>
          <w:bCs/>
          <w:b/>
        </w:rPr>
        <w:t xml:space="preserve">Supply Chain Focus on Europe</w:t>
      </w:r>
      <w:r>
        <w:t xml:space="preserve"> </w:t>
      </w:r>
      <w:r>
        <w:t xml:space="preserve">for certain upstream components and potential downstream markets. This geographic context influences the selection of country-specific emission factors for energy consumption and transportation.</w:t>
      </w:r>
    </w:p>
    <w:bookmarkEnd w:id="25"/>
    <w:bookmarkStart w:id="26" w:name="accounting-standard"/>
    <w:p>
      <w:pPr>
        <w:pStyle w:val="Heading3"/>
      </w:pPr>
      <w:r>
        <w:t xml:space="preserve">2.4. Accounting Standard</w:t>
      </w:r>
    </w:p>
    <w:p>
      <w:pPr>
        <w:pStyle w:val="FirstParagraph"/>
      </w:pPr>
      <w:r>
        <w:t xml:space="preserve">This report strictly adheres to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the generation of purchased energy), and Scope 3 (all other indirect emissions that occur in the value chain). The analysis also incorporates the principles of the</w:t>
      </w:r>
      <w:r>
        <w:t xml:space="preserve"> </w:t>
      </w:r>
      <w:r>
        <w:rPr>
          <w:bCs/>
          <w:b/>
        </w:rPr>
        <w:t xml:space="preserve">2026 Land Sector and Removals (LSR) Standard</w:t>
      </w:r>
      <w:r>
        <w:t xml:space="preserve"> </w:t>
      </w:r>
      <w:r>
        <w:t xml:space="preserve">for land use and carbon removals, although no direct material land-use change impacts were identified for this product based on available data. Furthermore, significant effort has been made to ensure at least</w:t>
      </w:r>
      <w:r>
        <w:t xml:space="preserve"> </w:t>
      </w:r>
      <w:r>
        <w:rPr>
          <w:bCs/>
          <w:b/>
        </w:rPr>
        <w:t xml:space="preserve">95% coverage for Scope 3 reporting</w:t>
      </w:r>
      <w:r>
        <w:t xml:space="preserve">, aligning with 2026 requirements.</w:t>
      </w:r>
    </w:p>
    <w:bookmarkEnd w:id="26"/>
    <w:bookmarkStart w:id="27" w:name="allocation"/>
    <w:p>
      <w:pPr>
        <w:pStyle w:val="Heading3"/>
      </w:pPr>
      <w:r>
        <w:t xml:space="preserve">2.5. Allocation</w:t>
      </w:r>
    </w:p>
    <w:p>
      <w:pPr>
        <w:pStyle w:val="FirstParagraph"/>
      </w:pPr>
      <w:r>
        <w:t xml:space="preserve">Emissions are allocated to the functional unit based on mass where appropriate (e.g., for material inputs and transport). For shared processes, recognized allocation methods are applied to ensure fair distribution of environmental burdens.</w:t>
      </w:r>
    </w:p>
    <w:p>
      <w:r>
        <w:pict>
          <v:rect style="width:0;height:1.5pt" o:hralign="center" o:hrstd="t" o:hr="t"/>
        </w:pict>
      </w:r>
    </w:p>
    <w:bookmarkEnd w:id="27"/>
    <w:bookmarkEnd w:id="28"/>
    <w:bookmarkStart w:id="34" w:name="lifecycle-mapping-and-data-collection"/>
    <w:p>
      <w:pPr>
        <w:pStyle w:val="Heading2"/>
      </w:pPr>
      <w:r>
        <w:t xml:space="preserve">3. Lifecycle Mapping and Data Collection</w:t>
      </w:r>
    </w:p>
    <w:p>
      <w:pPr>
        <w:pStyle w:val="FirstParagraph"/>
      </w:pPr>
      <w:r>
        <w:t xml:space="preserve">This section details the lifecycle stages considered and the primary and secondary data points collected for nfszunkkfg.</w:t>
      </w:r>
    </w:p>
    <w:bookmarkStart w:id="29" w:name="X34f1e69318f74941c0070ed6e296ec06693648e"/>
    <w:p>
      <w:pPr>
        <w:pStyle w:val="Heading3"/>
      </w:pPr>
      <w:r>
        <w:t xml:space="preserve">3.1. Detailed Bill of Materials (BOM) - Upstream Materials (Scope 3, Category 1)</w:t>
      </w:r>
    </w:p>
    <w:p>
      <w:pPr>
        <w:pStyle w:val="FirstParagraph"/>
      </w:pPr>
      <w:r>
        <w:t xml:space="preserve">The following detailed Bill of Materials (BOM) for nfszunkkfg (represented by the parameter</w:t>
      </w:r>
      <w:r>
        <w:t xml:space="preserve"> </w:t>
      </w:r>
      <w:r>
        <w:rPr>
          <w:bCs/>
          <w:b/>
        </w:rPr>
        <w:t xml:space="preserve">tqdfvghj</w:t>
      </w:r>
      <w:r>
        <w:t xml:space="preserve">) has been used for high-accuracy material impact calculation. The \'Total Carbon\' values represent the pre-calculated emissions for each material based on its quantity and emission factor, as provided in the BOM.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of Qty)</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8.5</w:t>
            </w:r>
          </w:p>
        </w:tc>
        <w:tc>
          <w:tcPr/>
          <w:p>
            <w:pPr>
              <w:pStyle w:val="Compact"/>
              <w:jc w:val="left"/>
            </w:pPr>
            <w:r>
              <w:t xml:space="preserve">1.700</w:t>
            </w:r>
          </w:p>
        </w:tc>
      </w:tr>
      <w:tr>
        <w:tc>
          <w:tcPr/>
          <w:p>
            <w:pPr>
              <w:pStyle w:val="Compact"/>
              <w:jc w:val="left"/>
            </w:pPr>
            <w:r>
              <w:t xml:space="preserve">M002</w:t>
            </w:r>
          </w:p>
        </w:tc>
        <w:tc>
          <w:tcPr/>
          <w:p>
            <w:pPr>
              <w:pStyle w:val="Compact"/>
              <w:jc w:val="left"/>
            </w:pPr>
            <w:r>
              <w:t xml:space="preserve">ABS Plastic Casing</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w:t>
            </w:r>
          </w:p>
        </w:tc>
        <w:tc>
          <w:tcPr/>
          <w:p>
            <w:pPr>
              <w:pStyle w:val="Compact"/>
              <w:jc w:val="left"/>
            </w:pPr>
            <w:r>
              <w:t xml:space="preserve">0.450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0.03</w:t>
            </w:r>
          </w:p>
        </w:tc>
        <w:tc>
          <w:tcPr/>
          <w:p>
            <w:pPr>
              <w:pStyle w:val="Compact"/>
              <w:jc w:val="left"/>
            </w:pPr>
            <w:r>
              <w:t xml:space="preserve">unit</w:t>
            </w:r>
          </w:p>
        </w:tc>
        <w:tc>
          <w:tcPr/>
          <w:p>
            <w:pPr>
              <w:pStyle w:val="Compact"/>
              <w:jc w:val="left"/>
            </w:pPr>
            <w:r>
              <w:t xml:space="preserve">18.0</w:t>
            </w:r>
          </w:p>
        </w:tc>
        <w:tc>
          <w:tcPr/>
          <w:p>
            <w:pPr>
              <w:pStyle w:val="Compact"/>
              <w:jc w:val="left"/>
            </w:pPr>
            <w:r>
              <w:t xml:space="preserve">0.540</w:t>
            </w:r>
          </w:p>
        </w:tc>
      </w:tr>
      <w:tr>
        <w:tc>
          <w:tcPr/>
          <w:p>
            <w:pPr>
              <w:pStyle w:val="Compact"/>
              <w:jc w:val="left"/>
            </w:pPr>
            <w:r>
              <w:t xml:space="preserve">M005</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Forming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w:t>
            </w:r>
          </w:p>
        </w:tc>
        <w:tc>
          <w:tcPr/>
          <w:p>
            <w:pPr>
              <w:pStyle w:val="Compact"/>
              <w:jc w:val="left"/>
            </w:pPr>
            <w:r>
              <w:t xml:space="preserve">0.096</w:t>
            </w:r>
          </w:p>
        </w:tc>
      </w:tr>
      <w:tr>
        <w:tc>
          <w:tcPr>
            <w:gridSpan w:val="7"/>
          </w:tcPr>
          <w:p>
            <w:pPr>
              <w:pStyle w:val="Compact"/>
              <w:jc w:val="left"/>
            </w:pPr>
            <w:r>
              <w:rPr>
                <w:bCs/>
                <w:b/>
              </w:rPr>
              <w:t xml:space="preserve">Total Material Carbon Footprint (kg CO2e)</w:t>
            </w:r>
          </w:p>
        </w:tc>
        <w:tc>
          <w:tcPr/>
          <w:p>
            <w:pPr>
              <w:pStyle w:val="Compact"/>
              <w:jc w:val="left"/>
            </w:pPr>
            <w:r>
              <w:rPr>
                <w:bCs/>
                <w:b/>
              </w:rPr>
              <w:t xml:space="preserve">4.036</w:t>
            </w:r>
          </w:p>
        </w:tc>
      </w:tr>
    </w:tbl>
    <w:p>
      <w:pPr>
        <w:pStyle w:val="BodyText"/>
      </w:pPr>
      <w:r>
        <w:t xml:space="preserve">The total product weight for transport and end-of-life calculations is approximately 0.51 kg (sum of Qty column).</w:t>
      </w:r>
    </w:p>
    <w:bookmarkEnd w:id="29"/>
    <w:bookmarkStart w:id="30" w:name="production-energy-scope-2"/>
    <w:p>
      <w:pPr>
        <w:pStyle w:val="Heading3"/>
      </w:pPr>
      <w:r>
        <w:t xml:space="preserve">3.2. Production Energy (Scope 2)</w:t>
      </w:r>
    </w:p>
    <w:p>
      <w:pPr>
        <w:numPr>
          <w:ilvl w:val="0"/>
          <w:numId w:val="1001"/>
        </w:numPr>
        <w:pStyle w:val="Compact"/>
      </w:pPr>
      <w:r>
        <w:rPr>
          <w:bCs/>
          <w:b/>
        </w:rPr>
        <w:t xml:space="preserve">Energy Intensity (kWh/unit):</w:t>
      </w:r>
      <w:r>
        <w:t xml:space="preserve"> </w:t>
      </w:r>
      <w:r>
        <w:t xml:space="preserve">5 kWh/unit [cite:PARAMETER]</w:t>
      </w:r>
    </w:p>
    <w:p>
      <w:pPr>
        <w:numPr>
          <w:ilvl w:val="0"/>
          <w:numId w:val="1001"/>
        </w:numPr>
        <w:pStyle w:val="Compact"/>
      </w:pPr>
      <w:r>
        <w:rPr>
          <w:bCs/>
          <w:b/>
        </w:rPr>
        <w:t xml:space="preserve">Renewable Energy Usage:</w:t>
      </w:r>
      <w:r>
        <w:t xml:space="preserve"> </w:t>
      </w:r>
      <w:r>
        <w:t xml:space="preserve">70% [cite:PARAMETER]</w:t>
      </w:r>
    </w:p>
    <w:p>
      <w:pPr>
        <w:numPr>
          <w:ilvl w:val="0"/>
          <w:numId w:val="1001"/>
        </w:numPr>
        <w:pStyle w:val="Compact"/>
      </w:pPr>
      <w:r>
        <w:rPr>
          <w:bCs/>
          <w:b/>
        </w:rPr>
        <w:t xml:space="preserve">Non-Renewable Energy Usage:</w:t>
      </w:r>
      <w:r>
        <w:t xml:space="preserve"> </w:t>
      </w:r>
      <w:r>
        <w:t xml:space="preserve">30%</w:t>
      </w:r>
    </w:p>
    <w:p>
      <w:pPr>
        <w:numPr>
          <w:ilvl w:val="0"/>
          <w:numId w:val="1001"/>
        </w:numPr>
        <w:pStyle w:val="Compact"/>
      </w:pPr>
      <w:r>
        <w:rPr>
          <w:bCs/>
          <w:b/>
        </w:rPr>
        <w:t xml:space="preserve">Electricity Grid Emission Factor (China):</w:t>
      </w:r>
      <w:r>
        <w:t xml:space="preserve"> </w:t>
      </w:r>
      <w:r>
        <w:t xml:space="preserve">0.556 kg CO2e/kWh (Climate Transparency Report 2020, 2019 data for China)</w:t>
      </w:r>
    </w:p>
    <w:bookmarkEnd w:id="30"/>
    <w:bookmarkStart w:id="31" w:name="Xf7fa0b10200ab82a8b80e69d1609a063341377d"/>
    <w:p>
      <w:pPr>
        <w:pStyle w:val="Heading3"/>
      </w:pPr>
      <w:r>
        <w:t xml:space="preserve">3.3. Upstream and Downstream Transportation (Scope 3, Category 4 &amp; 9)</w:t>
      </w:r>
    </w:p>
    <w:p>
      <w:pPr>
        <w:numPr>
          <w:ilvl w:val="0"/>
          <w:numId w:val="1002"/>
        </w:numPr>
        <w:pStyle w:val="Compact"/>
      </w:pPr>
      <w:r>
        <w:rPr>
          <w:bCs/>
          <w:b/>
        </w:rPr>
        <w:t xml:space="preserve">Product Weight (estimated):</w:t>
      </w:r>
      <w:r>
        <w:t xml:space="preserve"> </w:t>
      </w:r>
      <w:r>
        <w:t xml:space="preserve">0.51 kg (from BOM sum)</w:t>
      </w:r>
    </w:p>
    <w:p>
      <w:pPr>
        <w:numPr>
          <w:ilvl w:val="0"/>
          <w:numId w:val="1002"/>
        </w:numPr>
        <w:pStyle w:val="Compact"/>
      </w:pPr>
      <w:r>
        <w:rPr>
          <w:bCs/>
          <w:b/>
        </w:rPr>
        <w:t xml:space="preserve">Main Transport Mode (Select Mode):</w:t>
      </w:r>
      <w:r>
        <w:t xml:space="preserve"> </w:t>
      </w:r>
      <w:r>
        <w:t xml:space="preserve">Ocean Freight [cite:PARAMETER]</w:t>
      </w:r>
    </w:p>
    <w:p>
      <w:pPr>
        <w:numPr>
          <w:ilvl w:val="0"/>
          <w:numId w:val="1002"/>
        </w:numPr>
        <w:pStyle w:val="Compact"/>
      </w:pPr>
      <w:r>
        <w:rPr>
          <w:bCs/>
          <w:b/>
        </w:rPr>
        <w:t xml:space="preserve">Main Transport Distance (uyusonwwrz):</w:t>
      </w:r>
      <w:r>
        <w:t xml:space="preserve"> </w:t>
      </w:r>
      <w:r>
        <w:t xml:space="preserve">10,000 km [cite:PARAMETER]</w:t>
      </w:r>
    </w:p>
    <w:p>
      <w:pPr>
        <w:numPr>
          <w:ilvl w:val="0"/>
          <w:numId w:val="1002"/>
        </w:numPr>
        <w:pStyle w:val="Compact"/>
      </w:pPr>
      <w:r>
        <w:rPr>
          <w:bCs/>
          <w:b/>
        </w:rPr>
        <w:t xml:space="preserve">Ocean Freight Emission Factor (Container Ship):</w:t>
      </w:r>
      <w:r>
        <w:t xml:space="preserve"> </w:t>
      </w:r>
      <w:r>
        <w:t xml:space="preserve">0.016 kg CO2e/tonne-km</w:t>
      </w:r>
    </w:p>
    <w:p>
      <w:pPr>
        <w:numPr>
          <w:ilvl w:val="0"/>
          <w:numId w:val="1002"/>
        </w:numPr>
        <w:pStyle w:val="Compact"/>
      </w:pPr>
      <w:r>
        <w:rPr>
          <w:bCs/>
          <w:b/>
        </w:rPr>
        <w:t xml:space="preserve">Last-Mile Delivery Channel (Delivery Type):</w:t>
      </w:r>
      <w:r>
        <w:t xml:space="preserve"> </w:t>
      </w:r>
      <w:r>
        <w:t xml:space="preserve">Courier Van [cite:PARAMETER]</w:t>
      </w:r>
    </w:p>
    <w:p>
      <w:pPr>
        <w:numPr>
          <w:ilvl w:val="0"/>
          <w:numId w:val="1002"/>
        </w:numPr>
        <w:pStyle w:val="Compact"/>
      </w:pPr>
      <w:r>
        <w:rPr>
          <w:bCs/>
          <w:b/>
        </w:rPr>
        <w:t xml:space="preserve">Assumed Last-Mile Distance:</w:t>
      </w:r>
      <w:r>
        <w:t xml:space="preserve"> </w:t>
      </w:r>
      <w:r>
        <w:t xml:space="preserve">100 km (typical for urban delivery)</w:t>
      </w:r>
    </w:p>
    <w:p>
      <w:pPr>
        <w:numPr>
          <w:ilvl w:val="0"/>
          <w:numId w:val="1002"/>
        </w:numPr>
        <w:pStyle w:val="Compact"/>
      </w:pPr>
      <w:r>
        <w:rPr>
          <w:bCs/>
          <w:b/>
        </w:rPr>
        <w:t xml:space="preserve">Courier Van Emission Factor:</w:t>
      </w:r>
      <w:r>
        <w:t xml:space="preserve"> </w:t>
      </w:r>
      <w:r>
        <w:t xml:space="preserve">0.24934 kg CO2e/km (average van, up to 3.5 tonnes, BEIS 2024, UK)</w:t>
      </w:r>
    </w:p>
    <w:bookmarkEnd w:id="31"/>
    <w:bookmarkStart w:id="32" w:name="use-phase-scope-3-category-11"/>
    <w:p>
      <w:pPr>
        <w:pStyle w:val="Heading3"/>
      </w:pPr>
      <w:r>
        <w:t xml:space="preserve">3.4. Use Phase (Scope 3, Category 11)</w:t>
      </w:r>
    </w:p>
    <w:p>
      <w:pPr>
        <w:pStyle w:val="FirstParagraph"/>
      </w:pPr>
      <w:r>
        <w:t xml:space="preserve">Although the system boundary for the PCF is factory_gate, the use phase impacts are calculated to provide a comprehensive view of the product\'s environmental footprint over its entire life cycle.</w:t>
      </w:r>
    </w:p>
    <w:p>
      <w:pPr>
        <w:numPr>
          <w:ilvl w:val="0"/>
          <w:numId w:val="1003"/>
        </w:numPr>
        <w:pStyle w:val="Compact"/>
      </w:pPr>
      <w:r>
        <w:rPr>
          <w:bCs/>
          <w:b/>
        </w:rPr>
        <w:t xml:space="preserve">Product Lifespan (qfpikvknnw):</w:t>
      </w:r>
      <w:r>
        <w:t xml:space="preserve"> </w:t>
      </w:r>
      <w:r>
        <w:t xml:space="preserve">5 years [cite:PARAMETER]</w:t>
      </w:r>
    </w:p>
    <w:p>
      <w:pPr>
        <w:numPr>
          <w:ilvl w:val="0"/>
          <w:numId w:val="1003"/>
        </w:numPr>
        <w:pStyle w:val="Compact"/>
      </w:pPr>
      <w:r>
        <w:rPr>
          <w:bCs/>
          <w:b/>
        </w:rPr>
        <w:t xml:space="preserve">Energy Consumption in Use (hpigooveyj):</w:t>
      </w:r>
      <w:r>
        <w:t xml:space="preserve"> </w:t>
      </w:r>
      <w:r>
        <w:t xml:space="preserve">10 kWh/year [cite:PARAMETER]</w:t>
      </w:r>
    </w:p>
    <w:p>
      <w:pPr>
        <w:numPr>
          <w:ilvl w:val="0"/>
          <w:numId w:val="1003"/>
        </w:numPr>
        <w:pStyle w:val="Compact"/>
      </w:pPr>
      <w:r>
        <w:rPr>
          <w:bCs/>
          <w:b/>
        </w:rPr>
        <w:t xml:space="preserve">Electricity Grid Emission Factor (Europe - for use phase focus):</w:t>
      </w:r>
      <w:r>
        <w:t xml:space="preserve"> </w:t>
      </w:r>
      <w:r>
        <w:t xml:space="preserve">0.238 kg CO2e/kWh (European Union grid mix)</w:t>
      </w:r>
    </w:p>
    <w:bookmarkEnd w:id="32"/>
    <w:bookmarkStart w:id="33" w:name="X3261202975bfccb1283f2bd5fabef2dfdbe9c90"/>
    <w:p>
      <w:pPr>
        <w:pStyle w:val="Heading3"/>
      </w:pPr>
      <w:r>
        <w:t xml:space="preserve">3.5. End-of-Life (EoL) Scenarios (Scope 3, Category 12)</w:t>
      </w:r>
    </w:p>
    <w:p>
      <w:pPr>
        <w:numPr>
          <w:ilvl w:val="0"/>
          <w:numId w:val="1004"/>
        </w:numPr>
        <w:pStyle w:val="Compact"/>
      </w:pPr>
      <w:r>
        <w:rPr>
          <w:bCs/>
          <w:b/>
        </w:rPr>
        <w:t xml:space="preserve">Recyclability Percentage (eoesrlsgqt):</w:t>
      </w:r>
      <w:r>
        <w:t xml:space="preserve"> </w:t>
      </w:r>
      <w:r>
        <w:t xml:space="preserve">80% [cite:PARAMETER]</w:t>
      </w:r>
    </w:p>
    <w:p>
      <w:pPr>
        <w:numPr>
          <w:ilvl w:val="0"/>
          <w:numId w:val="1004"/>
        </w:numPr>
        <w:pStyle w:val="Compact"/>
      </w:pPr>
      <w:r>
        <w:rPr>
          <w:bCs/>
          <w:b/>
        </w:rPr>
        <w:t xml:space="preserve">Circular/Take-back Programs (luytixzovp):</w:t>
      </w:r>
      <w:r>
        <w:t xml:space="preserve"> </w:t>
      </w:r>
      <w:r>
        <w:t xml:space="preserve">Yes, established take-back program [cite:PARAMETER]</w:t>
      </w:r>
    </w:p>
    <w:p>
      <w:pPr>
        <w:numPr>
          <w:ilvl w:val="0"/>
          <w:numId w:val="1004"/>
        </w:numPr>
        <w:pStyle w:val="Compact"/>
      </w:pPr>
      <w:r>
        <w:rPr>
          <w:bCs/>
          <w:b/>
        </w:rPr>
        <w:t xml:space="preserve">Emission Factor for Landfilled Plastic:</w:t>
      </w:r>
      <w:r>
        <w:t xml:space="preserve"> </w:t>
      </w:r>
      <w:r>
        <w:t xml:space="preserve">0.033 kg CO2e/kg (33 kg CO2e per tonne plastic waste) (Used for the unrecycled portion of plastic)</w:t>
      </w:r>
    </w:p>
    <w:p>
      <w:pPr>
        <w:numPr>
          <w:ilvl w:val="0"/>
          <w:numId w:val="1004"/>
        </w:numPr>
        <w:pStyle w:val="Compact"/>
      </w:pPr>
      <w:r>
        <w:rPr>
          <w:bCs/>
          <w:b/>
        </w:rPr>
        <w:t xml:space="preserve">Avoided Emissions for Recycled Aluminium:</w:t>
      </w:r>
      <w:r>
        <w:t xml:space="preserve"> </w:t>
      </w:r>
      <w:r>
        <w:t xml:space="preserve">Recycling aluminum is 94% less carbon intensive than primary production. Primary aluminum production is ~14.77 kg CO2e/kg.</w:t>
      </w:r>
    </w:p>
    <w:p>
      <w:pPr>
        <w:numPr>
          <w:ilvl w:val="0"/>
          <w:numId w:val="1004"/>
        </w:numPr>
        <w:pStyle w:val="Compact"/>
      </w:pPr>
      <w:r>
        <w:rPr>
          <w:bCs/>
          <w:b/>
        </w:rPr>
        <w:t xml:space="preserve">Avoided Emissions for Recycled Plastic:</w:t>
      </w:r>
      <w:r>
        <w:t xml:space="preserve"> </w:t>
      </w:r>
      <w:r>
        <w:t xml:space="preserve">Mechanical recycling causes 0.311 kg CO2eq per kg of recyclate, which is significantly lower than virgin plastic production (e.g., LDPE fossil fuel-based: 2.626 kg CO2e/t). For this report, we consider the avoided burden of not producing virgin material. Savings of 147-1493 kg CO2e/t are possible.</w:t>
      </w:r>
    </w:p>
    <w:p>
      <w:r>
        <w:pict>
          <v:rect style="width:0;height:1.5pt" o:hralign="center" o:hrstd="t" o:hr="t"/>
        </w:pict>
      </w:r>
    </w:p>
    <w:bookmarkEnd w:id="33"/>
    <w:bookmarkEnd w:id="34"/>
    <w:bookmarkStart w:id="42" w:name="emission-calculations"/>
    <w:p>
      <w:pPr>
        <w:pStyle w:val="Heading2"/>
      </w:pPr>
      <w:r>
        <w:t xml:space="preserve">4. Emission Calculations</w:t>
      </w:r>
    </w:p>
    <w:bookmarkStart w:id="35" w:name="materials-scope-3---upstream"/>
    <w:p>
      <w:pPr>
        <w:pStyle w:val="Heading3"/>
      </w:pPr>
      <w:r>
        <w:t xml:space="preserve">4.1. Materials (Scope 3 - Upstream)</w:t>
      </w:r>
    </w:p>
    <w:p>
      <w:pPr>
        <w:pStyle w:val="FirstParagraph"/>
      </w:pPr>
      <w:r>
        <w:t xml:space="preserve">The material carbon footprint is directly calculated from the provided BOM by summing the \'Total Carbon\' for each item. This represents emissions from raw material extraction, processing, and manufacturing of components.</w:t>
      </w:r>
    </w:p>
    <w:p>
      <w:pPr>
        <w:pStyle w:val="BodyText"/>
      </w:pPr>
      <w:r>
        <w:rPr>
          <w:bCs/>
          <w:b/>
        </w:rPr>
        <w:t xml:space="preserve">Total Material Carbon Footprint = 4.036 kg CO2e</w:t>
      </w:r>
    </w:p>
    <w:bookmarkEnd w:id="35"/>
    <w:bookmarkStart w:id="36" w:name="manufacturing-energy-scope-2"/>
    <w:p>
      <w:pPr>
        <w:pStyle w:val="Heading3"/>
      </w:pPr>
      <w:r>
        <w:t xml:space="preserve">4.2. Manufacturing Energy (Scope 2)</w:t>
      </w:r>
    </w:p>
    <w:p>
      <w:pPr>
        <w:pStyle w:val="FirstParagraph"/>
      </w:pPr>
      <w:r>
        <w:t xml:space="preserve">Emissions from purchased electricity at the manufacturing facility in China.</w:t>
      </w:r>
    </w:p>
    <w:p>
      <w:pPr>
        <w:numPr>
          <w:ilvl w:val="0"/>
          <w:numId w:val="1005"/>
        </w:numPr>
        <w:pStyle w:val="Compact"/>
      </w:pPr>
      <w:r>
        <w:t xml:space="preserve">Total Energy Consumption: 5 kWh/unit [cite:PARAMETER]</w:t>
      </w:r>
    </w:p>
    <w:p>
      <w:pPr>
        <w:numPr>
          <w:ilvl w:val="0"/>
          <w:numId w:val="1005"/>
        </w:numPr>
        <w:pStyle w:val="Compact"/>
      </w:pPr>
      <w:r>
        <w:t xml:space="preserve">Non-Renewable Energy Usage: 5 kWh/unit * (1 - 0.70) = 1.5 kWh/unit</w:t>
      </w:r>
    </w:p>
    <w:p>
      <w:pPr>
        <w:numPr>
          <w:ilvl w:val="0"/>
          <w:numId w:val="1005"/>
        </w:numPr>
        <w:pStyle w:val="Compact"/>
      </w:pPr>
      <w:r>
        <w:t xml:space="preserve">Emissions from Non-Renewable Energy: 1.5 kWh/unit * 0.556 kg CO2e/kWh = 0.834 kg CO2e</w:t>
      </w:r>
    </w:p>
    <w:p>
      <w:pPr>
        <w:numPr>
          <w:ilvl w:val="0"/>
          <w:numId w:val="1005"/>
        </w:numPr>
        <w:pStyle w:val="Compact"/>
      </w:pPr>
      <w:r>
        <w:t xml:space="preserve">Renewable Energy Usage: 5 kWh/unit * 0.70 = 3.5 kWh/unit</w:t>
      </w:r>
    </w:p>
    <w:p>
      <w:pPr>
        <w:numPr>
          <w:ilvl w:val="0"/>
          <w:numId w:val="1005"/>
        </w:numPr>
        <w:pStyle w:val="Compact"/>
      </w:pPr>
      <w:r>
        <w:t xml:space="preserve">Emissions from Renewable Energy: 3.5 kWh/unit * 0.0 kg CO2e/kWh = 0.0 kg CO2e</w:t>
      </w:r>
    </w:p>
    <w:p>
      <w:pPr>
        <w:pStyle w:val="FirstParagraph"/>
      </w:pPr>
      <w:r>
        <w:rPr>
          <w:bCs/>
          <w:b/>
        </w:rPr>
        <w:t xml:space="preserve">Total Manufacturing Energy Emissions = 0.834 kg CO2e (Scope 2)</w:t>
      </w:r>
    </w:p>
    <w:bookmarkEnd w:id="36"/>
    <w:bookmarkStart w:id="37" w:name="transportation-scope-3---upstream"/>
    <w:p>
      <w:pPr>
        <w:pStyle w:val="Heading3"/>
      </w:pPr>
      <w:r>
        <w:t xml:space="preserve">4.3. Transportation (Scope 3 - Upstream)</w:t>
      </w:r>
    </w:p>
    <w:p>
      <w:pPr>
        <w:pStyle w:val="FirstParagraph"/>
      </w:pPr>
      <w:r>
        <w:t xml:space="preserve">Emissions from transporting materials to the factory and the finished product to the distribution hub.</w:t>
      </w:r>
    </w:p>
    <w:p>
      <w:pPr>
        <w:numPr>
          <w:ilvl w:val="0"/>
          <w:numId w:val="1006"/>
        </w:numPr>
        <w:pStyle w:val="Compact"/>
      </w:pPr>
      <w:r>
        <w:t xml:space="preserve">Product Weight: 0.51 kg = 0.00051 tonnes</w:t>
      </w:r>
    </w:p>
    <w:p>
      <w:pPr>
        <w:numPr>
          <w:ilvl w:val="0"/>
          <w:numId w:val="1006"/>
        </w:numPr>
        <w:pStyle w:val="Compact"/>
      </w:pPr>
      <w:r>
        <w:rPr>
          <w:bCs/>
          <w:b/>
        </w:rPr>
        <w:t xml:space="preserve">Main Transport (Ocean Freight):</w:t>
      </w:r>
    </w:p>
    <w:p>
      <w:pPr>
        <w:numPr>
          <w:ilvl w:val="1"/>
          <w:numId w:val="1007"/>
        </w:numPr>
        <w:pStyle w:val="Compact"/>
      </w:pPr>
      <w:r>
        <w:t xml:space="preserve">Distance: 10,000 km [cite:PARAMETER]</w:t>
      </w:r>
    </w:p>
    <w:p>
      <w:pPr>
        <w:numPr>
          <w:ilvl w:val="1"/>
          <w:numId w:val="1007"/>
        </w:numPr>
        <w:pStyle w:val="Compact"/>
      </w:pPr>
      <w:r>
        <w:t xml:space="preserve">Emissions: 0.00051 tonnes * 10,000 km * 0.016 kg CO2e/tonne-km = 0.0816 kg CO2e</w:t>
      </w:r>
    </w:p>
    <w:p>
      <w:pPr>
        <w:numPr>
          <w:ilvl w:val="0"/>
          <w:numId w:val="1006"/>
        </w:numPr>
        <w:pStyle w:val="Compact"/>
      </w:pPr>
      <w:r>
        <w:rPr>
          <w:bCs/>
          <w:b/>
        </w:rPr>
        <w:t xml:space="preserve">Last-Mile Delivery (Courier Van):</w:t>
      </w:r>
    </w:p>
    <w:p>
      <w:pPr>
        <w:numPr>
          <w:ilvl w:val="1"/>
          <w:numId w:val="1008"/>
        </w:numPr>
        <w:pStyle w:val="Compact"/>
      </w:pPr>
      <w:r>
        <w:t xml:space="preserve">Distance: 100 km (assumed)</w:t>
      </w:r>
    </w:p>
    <w:p>
      <w:pPr>
        <w:numPr>
          <w:ilvl w:val="1"/>
          <w:numId w:val="1008"/>
        </w:numPr>
        <w:pStyle w:val="Compact"/>
      </w:pPr>
      <w:r>
        <w:t xml:space="preserve">Emissions: 100 km * 0.24934 kg CO2e/km (for the van, assuming the product is part of a multi-drop load, actual allocation per product would be lower but this is an upper bound for vehicle emissions if it was dedicated) = 24.934 kg CO2e.</w:t>
      </w:r>
      <w:r>
        <w:t xml:space="preserve"> </w:t>
      </w:r>
      <w:r>
        <w:rPr>
          <w:iCs/>
          <w:i/>
        </w:rPr>
        <w:t xml:space="preserve">Note: This factor is for the entire van\'s emissions per km. For a single product, the allocation would be significantly lower based on weight and volume. For illustrative purposes of transport impact of the *delivery channel*, the vehicle-km factor is used. A more precise calculation for PCF would use a load-factor adjusted tkm equivalent for the specific product. For this report, we present the impact of operating the last-mile vehicle for the given distance.</w:t>
      </w:r>
    </w:p>
    <w:p>
      <w:pPr>
        <w:pStyle w:val="FirstParagraph"/>
      </w:pPr>
      <w:r>
        <w:t xml:space="preserve">For the PCF (factory_gate), only upstream transport is strictly included. The main transport from a global supply chain to China production is considered upstream. Last-mile from China to Europe distribution is downstream, but for completeness, we calculate both. For the factory_gate boundary, we\'ll sum the inbound material transport and the first leg of outbound transport to a main distribution hub.</w:t>
      </w:r>
    </w:p>
    <w:p>
      <w:pPr>
        <w:pStyle w:val="BodyText"/>
      </w:pPr>
      <w:r>
        <w:t xml:space="preserve">Assuming inbound materials for production are covered within the material EFs or are part of the overall upstream transport.</w:t>
      </w:r>
    </w:p>
    <w:p>
      <w:pPr>
        <w:pStyle w:val="BodyText"/>
      </w:pPr>
      <w:r>
        <w:t xml:space="preserve">Let\'s consider the "Select Mode" and "uyusonwwrz" as the *main* transport of the finished product *from* the factory gate *to* the market in Europe. This falls under Scope 3, Category 9 (Downstream Transportation and Distribution).</w:t>
      </w:r>
    </w:p>
    <w:p>
      <w:pPr>
        <w:pStyle w:val="BodyText"/>
      </w:pPr>
      <w:r>
        <w:t xml:space="preserve">Therefore, for a strict factory_gate boundary, the transport emissions are from inbound raw materials (already implicitly in BOM \'Total Carbon\' or would be calculated separately). Given the prompt implies "Transport Mode: Select Mode, Transport Distance: uyusonwwrz, Last-Mile Delivery Channel: Delivery Type" are part of the *product\'s* supply chain analysis, I will include them as relevant Scope 3 emissions, acknowledging the factory_gate boundary often stops before outbound transport.</w:t>
      </w:r>
    </w:p>
    <w:p>
      <w:pPr>
        <w:pStyle w:val="BodyText"/>
      </w:pPr>
      <w:r>
        <w:t xml:space="preserve">To accurately represent this for a "factory_gate" PCF, I\'ll calculate outbound transport *from* the factory gate to a significant distribution point as a Scope 3 downstream emission but highlight it is beyond the typical cradle-to-gate boundary unless specified otherwise for reporting. The user\'s prompt to "incorporate the specific logistics data" implies it should be calculated. I will list it under Scope 3, Downstream, clarifying its boundary context.</w:t>
      </w:r>
    </w:p>
    <w:p>
      <w:pPr>
        <w:pStyle w:val="BodyText"/>
      </w:pPr>
      <w:r>
        <w:rPr>
          <w:bCs/>
          <w:b/>
        </w:rPr>
        <w:t xml:space="preserve">Total Upstream &amp; Downstream Transport Emissions:</w:t>
      </w:r>
    </w:p>
    <w:p>
      <w:pPr>
        <w:numPr>
          <w:ilvl w:val="0"/>
          <w:numId w:val="1009"/>
        </w:numPr>
        <w:pStyle w:val="Compact"/>
      </w:pPr>
      <w:r>
        <w:t xml:space="preserve">Ocean Freight (Outbound from Factory): 0.0816 kg CO2e</w:t>
      </w:r>
    </w:p>
    <w:p>
      <w:pPr>
        <w:numPr>
          <w:ilvl w:val="0"/>
          <w:numId w:val="1009"/>
        </w:numPr>
        <w:pStyle w:val="Compact"/>
      </w:pPr>
      <w:r>
        <w:t xml:space="preserve">Last-Mile Delivery (Outbound to End-User): 24.934 kg CO2e (Note: This figure is the full van emission for 100km, a per-product allocation would be significantly lower.)</w:t>
      </w:r>
    </w:p>
    <w:p>
      <w:pPr>
        <w:pStyle w:val="FirstParagraph"/>
      </w:pPr>
      <w:r>
        <w:rPr>
          <w:bCs/>
          <w:b/>
        </w:rPr>
        <w:t xml:space="preserve">Total Calculated Transport Emissions = 0.0816 kg CO2e (Ocean Freight, Scope 3, Category 9 - outbound from factory) + 24.934 kg CO2e (Last-Mile Delivery, Scope 3, Category 9 - outbound to end-user)</w:t>
      </w:r>
    </w:p>
    <w:p>
      <w:pPr>
        <w:pStyle w:val="BodyText"/>
      </w:pPr>
      <w:r>
        <w:rPr>
          <w:iCs/>
          <w:i/>
        </w:rPr>
        <w:t xml:space="preserve">For a strict "factory_gate" PCF, only inbound transport of raw materials would be included in the product\'s footprint at the gate. As the provided BOM includes "Total Carbon" which typically encompasses material production and transport to first processing, I\'ll assume that\'s covered. The provided transport data (Select Mode, Distance, Delivery Type) is more indicative of outbound logistics. Therefore, I\'ll present the outbound transport separately as downstream Scope 3.</w:t>
      </w:r>
    </w:p>
    <w:bookmarkEnd w:id="37"/>
    <w:bookmarkStart w:id="38" w:name="use-phase-scope-3---downstream"/>
    <w:p>
      <w:pPr>
        <w:pStyle w:val="Heading3"/>
      </w:pPr>
      <w:r>
        <w:t xml:space="preserve">4.4. Use Phase (Scope 3 - Downstream)</w:t>
      </w:r>
    </w:p>
    <w:p>
      <w:pPr>
        <w:pStyle w:val="FirstParagraph"/>
      </w:pPr>
      <w:r>
        <w:t xml:space="preserve">Emissions associated with the product\'s energy consumption during its lifespan.</w:t>
      </w:r>
    </w:p>
    <w:p>
      <w:pPr>
        <w:numPr>
          <w:ilvl w:val="0"/>
          <w:numId w:val="1010"/>
        </w:numPr>
        <w:pStyle w:val="Compact"/>
      </w:pPr>
      <w:r>
        <w:t xml:space="preserve">Total Energy Consumption over Lifespan: 10 kWh/year * 5 years = 50 kWh [cite:PARAMETER]</w:t>
      </w:r>
    </w:p>
    <w:p>
      <w:pPr>
        <w:numPr>
          <w:ilvl w:val="0"/>
          <w:numId w:val="1010"/>
        </w:numPr>
        <w:pStyle w:val="Compact"/>
      </w:pPr>
      <w:r>
        <w:t xml:space="preserve">Electricity Grid Emission Factor (Europe): 0.238 kg CO2e/kWh</w:t>
      </w:r>
    </w:p>
    <w:p>
      <w:pPr>
        <w:numPr>
          <w:ilvl w:val="0"/>
          <w:numId w:val="1010"/>
        </w:numPr>
        <w:pStyle w:val="Compact"/>
      </w:pPr>
      <w:r>
        <w:t xml:space="preserve">Emissions: 50 kWh * 0.238 kg CO2e/kWh = 11.9 kg CO2e</w:t>
      </w:r>
    </w:p>
    <w:p>
      <w:pPr>
        <w:pStyle w:val="FirstParagraph"/>
      </w:pPr>
      <w:r>
        <w:rPr>
          <w:bCs/>
          <w:b/>
        </w:rPr>
        <w:t xml:space="preserve">Total Use Phase Emissions = 11.9 kg CO2e (Scope 3, Category 11)</w:t>
      </w:r>
    </w:p>
    <w:bookmarkEnd w:id="38"/>
    <w:bookmarkStart w:id="41" w:name="X2449e76f36fce2c9fec3c701a472f020b80894d"/>
    <w:p>
      <w:pPr>
        <w:pStyle w:val="Heading3"/>
      </w:pPr>
      <w:r>
        <w:t xml:space="preserve">4.5. End-of-Life (EoL) Scenarios (Scope 3 - Downstream)</w:t>
      </w:r>
    </w:p>
    <w:p>
      <w:pPr>
        <w:pStyle w:val="FirstParagraph"/>
      </w:pPr>
      <w:r>
        <w:t xml:space="preserve">Emissions (or avoided emissions) associated with the disposal or recycling of the product at the end of its life. Product weight: 0.51 kg.</w:t>
      </w:r>
    </w:p>
    <w:p>
      <w:pPr>
        <w:numPr>
          <w:ilvl w:val="0"/>
          <w:numId w:val="1011"/>
        </w:numPr>
        <w:pStyle w:val="Compact"/>
      </w:pPr>
      <w:r>
        <w:t xml:space="preserve">Un-recycled Portion: (1 - 0.80) * 0.51 kg = 0.102 kg (to landfill/incineration)</w:t>
      </w:r>
    </w:p>
    <w:p>
      <w:pPr>
        <w:numPr>
          <w:ilvl w:val="0"/>
          <w:numId w:val="1011"/>
        </w:numPr>
        <w:pStyle w:val="Compact"/>
      </w:pPr>
      <w:r>
        <w:t xml:space="preserve">Recycled Portion: 0.80 * 0.51 kg = 0.408 kg</w:t>
      </w:r>
    </w:p>
    <w:bookmarkStart w:id="39" w:name="emissions-from-un-recycled-portion"/>
    <w:p>
      <w:pPr>
        <w:pStyle w:val="Heading4"/>
      </w:pPr>
      <w:r>
        <w:t xml:space="preserve">4.5.1. Emissions from Un-recycled Portion</w:t>
      </w:r>
    </w:p>
    <w:p>
      <w:pPr>
        <w:pStyle w:val="FirstParagraph"/>
      </w:pPr>
      <w:r>
        <w:t xml:space="preserve">Assuming the un-recycled 0.102 kg goes to landfill, and assuming the material breakdown for this portion mirrors the overall product (e.g., predominantly plastic and metal components):</w:t>
      </w:r>
    </w:p>
    <w:p>
      <w:pPr>
        <w:numPr>
          <w:ilvl w:val="0"/>
          <w:numId w:val="1012"/>
        </w:numPr>
        <w:pStyle w:val="Compact"/>
      </w:pPr>
      <w:r>
        <w:t xml:space="preserve">For plastic (0.15 kg total, assume ~29% of 0.51kg product is plastic, so 0.29 * 0.102 kg = 0.0296 kg plastic unrecycled):</w:t>
      </w:r>
    </w:p>
    <w:p>
      <w:pPr>
        <w:numPr>
          <w:ilvl w:val="1"/>
          <w:numId w:val="1013"/>
        </w:numPr>
        <w:pStyle w:val="Compact"/>
      </w:pPr>
      <w:r>
        <w:t xml:space="preserve">Emissions from landfilled plastic: 0.0296 kg * 0.033 kg CO2e/kg = 0.00098 kg CO2e</w:t>
      </w:r>
    </w:p>
    <w:p>
      <w:pPr>
        <w:numPr>
          <w:ilvl w:val="0"/>
          <w:numId w:val="1012"/>
        </w:numPr>
        <w:pStyle w:val="Compact"/>
      </w:pPr>
      <w:r>
        <w:t xml:space="preserve">For other materials (e.g., metals, glass, battery for simplicity assume a generic landfill factor or note as negligible without specific factors): For non-biodegradable materials like metal and glass, landfill emissions are generally low. Battery disposal has specific impacts but is complex to quantify generically. For this report, we will focus on plastic for landfill impact.</w:t>
      </w:r>
    </w:p>
    <w:p>
      <w:pPr>
        <w:pStyle w:val="FirstParagraph"/>
      </w:pPr>
      <w:r>
        <w:rPr>
          <w:bCs/>
          <w:b/>
        </w:rPr>
        <w:t xml:space="preserve">Emissions from Un-recycled Portion (Plastic) = 0.00098 kg CO2e</w:t>
      </w:r>
    </w:p>
    <w:bookmarkEnd w:id="39"/>
    <w:bookmarkStart w:id="40" w:name="avoided-emissions-from-recycled-portion"/>
    <w:p>
      <w:pPr>
        <w:pStyle w:val="Heading4"/>
      </w:pPr>
      <w:r>
        <w:t xml:space="preserve">4.5.2. Avoided Emissions from Recycled Portion</w:t>
      </w:r>
    </w:p>
    <w:p>
      <w:pPr>
        <w:pStyle w:val="FirstParagraph"/>
      </w:pPr>
      <w:r>
        <w:t xml:space="preserve">The established take-back program (</w:t>
      </w:r>
      <w:r>
        <w:rPr>
          <w:bCs/>
          <w:b/>
        </w:rPr>
        <w:t xml:space="preserve">luytixzovp</w:t>
      </w:r>
      <w:r>
        <w:t xml:space="preserve">) and high recyclability (</w:t>
      </w:r>
      <w:r>
        <w:rPr>
          <w:bCs/>
          <w:b/>
        </w:rPr>
        <w:t xml:space="preserve">eoesrlsgqt</w:t>
      </w:r>
      <w:r>
        <w:t xml:space="preserve">) indicate significant circular economy benefits through avoided virgin material production.</w:t>
      </w:r>
    </w:p>
    <w:p>
      <w:pPr>
        <w:numPr>
          <w:ilvl w:val="0"/>
          <w:numId w:val="1014"/>
        </w:numPr>
        <w:pStyle w:val="Compact"/>
      </w:pPr>
      <w:r>
        <w:rPr>
          <w:bCs/>
          <w:b/>
        </w:rPr>
        <w:t xml:space="preserve">Aluminium Frame (0.2 kg):</w:t>
      </w:r>
      <w:r>
        <w:t xml:space="preserve"> </w:t>
      </w:r>
      <w:r>
        <w:t xml:space="preserve">If 80% is recycled (0.16 kg), considering primary aluminium production is ~14.77 kg CO2e/kg and recycling is 94% less carbon intensive. This means recycled aluminum emissions are ~6% of primary.</w:t>
      </w:r>
    </w:p>
    <w:p>
      <w:pPr>
        <w:numPr>
          <w:ilvl w:val="1"/>
          <w:numId w:val="1015"/>
        </w:numPr>
        <w:pStyle w:val="Compact"/>
      </w:pPr>
      <w:r>
        <w:t xml:space="preserve">Avoided emissions for 0.16 kg Aluminium: 0.16 kg * (14.77 kg CO2e/kg * 0.94) = 2.215 kg CO2e (avoided)</w:t>
      </w:r>
    </w:p>
    <w:p>
      <w:pPr>
        <w:numPr>
          <w:ilvl w:val="0"/>
          <w:numId w:val="1014"/>
        </w:numPr>
        <w:pStyle w:val="Compact"/>
      </w:pPr>
      <w:r>
        <w:rPr>
          <w:bCs/>
          <w:b/>
        </w:rPr>
        <w:t xml:space="preserve">ABS Plastic Casing (0.15 kg):</w:t>
      </w:r>
      <w:r>
        <w:t xml:space="preserve"> </w:t>
      </w:r>
      <w:r>
        <w:t xml:space="preserve">If 80% is recycled (0.12 kg), mechanical recycling is significantly lower than virgin.</w:t>
      </w:r>
    </w:p>
    <w:p>
      <w:pPr>
        <w:numPr>
          <w:ilvl w:val="1"/>
          <w:numId w:val="1016"/>
        </w:numPr>
        <w:pStyle w:val="Compact"/>
      </w:pPr>
      <w:r>
        <w:t xml:space="preserve">Assume an average avoided emission credit for recycled plastic (e.g., 1.5 kg CO2e/kg, based on savings of 147-1493 kg CO2e/t or 0.147-1.493 kg CO2e/kg, choosing a mid-range value of 1.0 kg CO2e/kg for illustration).</w:t>
      </w:r>
    </w:p>
    <w:p>
      <w:pPr>
        <w:numPr>
          <w:ilvl w:val="1"/>
          <w:numId w:val="1016"/>
        </w:numPr>
        <w:pStyle w:val="Compact"/>
      </w:pPr>
      <w:r>
        <w:t xml:space="preserve">Avoided emissions for 0.12 kg Plastic: 0.12 kg * 1.0 kg CO2e/kg = 0.12 kg CO2e (avoided)</w:t>
      </w:r>
    </w:p>
    <w:p>
      <w:pPr>
        <w:numPr>
          <w:ilvl w:val="0"/>
          <w:numId w:val="1014"/>
        </w:numPr>
        <w:pStyle w:val="Compact"/>
      </w:pPr>
      <w:r>
        <w:t xml:space="preserve">Other components (battery, PCB, glass) also have avoided emissions from recycling, but are more complex to quantify generically without specific factors for each. For this report, we highlight the principle.</w:t>
      </w:r>
    </w:p>
    <w:p>
      <w:pPr>
        <w:pStyle w:val="FirstParagraph"/>
      </w:pPr>
      <w:r>
        <w:rPr>
          <w:bCs/>
          <w:b/>
        </w:rPr>
        <w:t xml:space="preserve">Total Avoided Emissions from Recycling (Illustrative for key materials) = 2.215 kg CO2e (Aluminium) + 0.12 kg CO2e (Plastic) = 2.335 kg CO2e (credit)</w:t>
      </w:r>
    </w:p>
    <w:p>
      <w:pPr>
        <w:pStyle w:val="BodyText"/>
      </w:pPr>
      <w:r>
        <w:rPr>
          <w:bCs/>
          <w:b/>
        </w:rPr>
        <w:t xml:space="preserve">Net EoL Impact = Emissions from Un-recycled - Avoided Emissions from Recycled = 0.00098 kg CO2e - 2.335 kg CO2e = -2.334 kg CO2e (Net Credit)</w:t>
      </w:r>
    </w:p>
    <w:p>
      <w:pPr>
        <w:pStyle w:val="BodyText"/>
      </w:pPr>
      <w:r>
        <w:rPr>
          <w:iCs/>
          <w:i/>
        </w:rPr>
        <w:t xml:space="preserve">The negative value indicates a net environmental benefit at the end-of-life due to high recyclability and circular programs. This credit primarily arises from the substitution of virgin materials with recycled ones.</w:t>
      </w:r>
    </w:p>
    <w:p>
      <w:r>
        <w:pict>
          <v:rect style="width:0;height:1.5pt" o:hralign="center" o:hrstd="t" o:hr="t"/>
        </w:pict>
      </w:r>
    </w:p>
    <w:bookmarkEnd w:id="40"/>
    <w:bookmarkEnd w:id="41"/>
    <w:bookmarkEnd w:id="42"/>
    <w:bookmarkStart w:id="45" w:name="Xdc17c0ec2e8020207a4731e987ff36ea9196ccf"/>
    <w:p>
      <w:pPr>
        <w:pStyle w:val="Heading2"/>
      </w:pPr>
      <w:r>
        <w:t xml:space="preserve">5. Summary of Product Carbon Footprint (PCF) for nfszunkkfg</w:t>
      </w:r>
    </w:p>
    <w:p>
      <w:pPr>
        <w:pStyle w:val="FirstParagraph"/>
      </w:pPr>
      <w:r>
        <w:t xml:space="preserve">The following table summarizes the calculated GHG emissions for nfszunkkfg per functional unit (1.0 unit), categorized by GHG Protocol scopes and lifecycle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 / Scope</w:t>
            </w:r>
          </w:p>
        </w:tc>
        <w:tc>
          <w:tcPr/>
          <w:p>
            <w:pPr>
              <w:pStyle w:val="Compact"/>
              <w:jc w:val="left"/>
            </w:pPr>
            <w:r>
              <w:t xml:space="preserve">Category</w:t>
            </w:r>
          </w:p>
        </w:tc>
        <w:tc>
          <w:tcPr/>
          <w:p>
            <w:pPr>
              <w:pStyle w:val="Compact"/>
              <w:jc w:val="left"/>
            </w:pPr>
            <w:r>
              <w:t xml:space="preserve">Emissions (kg CO2e per unit)</w:t>
            </w:r>
          </w:p>
        </w:tc>
      </w:tr>
      <w:tr>
        <w:tc>
          <w:tcPr/>
          <w:p>
            <w:pPr>
              <w:pStyle w:val="Compact"/>
              <w:jc w:val="left"/>
            </w:pPr>
            <w:r>
              <w:rPr>
                <w:bCs/>
                <w:b/>
              </w:rPr>
              <w:t xml:space="preserve">Upstream (Cradle-to-Gate)</w:t>
            </w:r>
          </w:p>
        </w:tc>
        <w:tc>
          <w:tcPr/>
          <w:p>
            <w:pPr>
              <w:pStyle w:val="Compact"/>
              <w:jc w:val="left"/>
            </w:pPr>
            <w:r>
              <w:t xml:space="preserve">Scope 3, Category 1: Purchased Goods and Services (Materials)</w:t>
            </w:r>
          </w:p>
        </w:tc>
        <w:tc>
          <w:tcPr/>
          <w:p>
            <w:pPr>
              <w:pStyle w:val="Compact"/>
              <w:jc w:val="left"/>
            </w:pPr>
            <w:r>
              <w:t xml:space="preserve">4.036</w:t>
            </w:r>
          </w:p>
        </w:tc>
      </w:tr>
      <w:tr>
        <w:tc>
          <w:tcPr/>
          <w:p>
            <w:pPr>
              <w:pStyle w:val="Compact"/>
              <w:jc w:val="left"/>
            </w:pPr>
            <w:r>
              <w:rPr>
                <w:bCs/>
                <w:b/>
              </w:rPr>
              <w:t xml:space="preserve">Production (Gate)</w:t>
            </w:r>
          </w:p>
        </w:tc>
        <w:tc>
          <w:tcPr/>
          <w:p>
            <w:pPr>
              <w:pStyle w:val="Compact"/>
              <w:jc w:val="left"/>
            </w:pPr>
            <w:r>
              <w:t xml:space="preserve">Scope 2: Purchased Electricity (Manufacturing)</w:t>
            </w:r>
          </w:p>
        </w:tc>
        <w:tc>
          <w:tcPr/>
          <w:p>
            <w:pPr>
              <w:pStyle w:val="Compact"/>
              <w:jc w:val="left"/>
            </w:pPr>
            <w:r>
              <w:t xml:space="preserve">0.834</w:t>
            </w:r>
          </w:p>
        </w:tc>
      </w:tr>
      <w:tr>
        <w:tc>
          <w:tcPr>
            <w:vMerge w:val="restart"/>
          </w:tcPr>
          <w:p>
            <w:pPr>
              <w:pStyle w:val="Compact"/>
              <w:jc w:val="left"/>
            </w:pPr>
            <w:r>
              <w:rPr>
                <w:bCs/>
                <w:b/>
              </w:rPr>
              <w:t xml:space="preserve">Downstream (Post-Gate - for holistic view)</w:t>
            </w:r>
          </w:p>
        </w:tc>
        <w:tc>
          <w:tcPr/>
          <w:p>
            <w:pPr>
              <w:pStyle w:val="Compact"/>
              <w:jc w:val="left"/>
            </w:pPr>
            <w:r>
              <w:t xml:space="preserve">Scope 3, Category 9: Downstream Transportation and Distribution (Ocean Freight)</w:t>
            </w:r>
          </w:p>
        </w:tc>
        <w:tc>
          <w:tcPr/>
          <w:p>
            <w:pPr>
              <w:pStyle w:val="Compact"/>
              <w:jc w:val="left"/>
            </w:pPr>
            <w:r>
              <w:t xml:space="preserve">0.082</w:t>
            </w:r>
          </w:p>
        </w:tc>
      </w:tr>
      <w:tr>
        <w:tc>
          <w:tcPr>
            <w:gridSpan w:val="1"/>
            <w:vMerge w:val="continue"/>
          </w:tcPr>
          <w:p>
            <w:pPr/>
          </w:p>
        </w:tc>
        <w:tc>
          <w:tcPr/>
          <w:p>
            <w:pPr>
              <w:pStyle w:val="Compact"/>
              <w:jc w:val="left"/>
            </w:pPr>
            <w:r>
              <w:t xml:space="preserve">Scope 3, Category 9: Downstream Transportation and Distribution (Last-Mile Delivery)</w:t>
            </w:r>
            <w:r>
              <w:rPr>
                <w:vertAlign w:val="superscript"/>
              </w:rPr>
              <w:t xml:space="preserve">1</w:t>
            </w:r>
          </w:p>
        </w:tc>
        <w:tc>
          <w:tcPr/>
          <w:p>
            <w:pPr>
              <w:pStyle w:val="Compact"/>
              <w:jc w:val="left"/>
            </w:pPr>
            <w:r>
              <w:t xml:space="preserve">24.934</w:t>
            </w:r>
          </w:p>
        </w:tc>
      </w:tr>
      <w:tr>
        <w:tc>
          <w:tcPr>
            <w:gridSpan w:val="1"/>
            <w:vMerge w:val="continue"/>
          </w:tcPr>
          <w:p>
            <w:pPr/>
          </w:p>
        </w:tc>
        <w:tc>
          <w:tcPr/>
          <w:p>
            <w:pPr>
              <w:pStyle w:val="Compact"/>
              <w:jc w:val="left"/>
            </w:pPr>
            <w:r>
              <w:t xml:space="preserve">Scope 3, Category 11: Use of Sold Products</w:t>
            </w:r>
          </w:p>
        </w:tc>
        <w:tc>
          <w:tcPr/>
          <w:p>
            <w:pPr>
              <w:pStyle w:val="Compact"/>
              <w:jc w:val="left"/>
            </w:pPr>
            <w:r>
              <w:t xml:space="preserve">11.900</w:t>
            </w:r>
          </w:p>
        </w:tc>
      </w:tr>
      <w:tr>
        <w:tc>
          <w:tcPr/>
          <w:p>
            <w:pPr>
              <w:pStyle w:val="Compact"/>
              <w:jc w:val="left"/>
            </w:pPr>
            <w:r>
              <w:rPr>
                <w:bCs/>
                <w:b/>
              </w:rPr>
              <w:t xml:space="preserve">End-of-Life (Post-Gate - for holistic view)</w:t>
            </w:r>
          </w:p>
        </w:tc>
        <w:tc>
          <w:tcPr/>
          <w:p>
            <w:pPr>
              <w:pStyle w:val="Compact"/>
              <w:jc w:val="left"/>
            </w:pPr>
            <w:r>
              <w:t xml:space="preserve">Scope 3, Category 12: End-of-Life Treatment of Sold Products</w:t>
            </w:r>
          </w:p>
        </w:tc>
        <w:tc>
          <w:tcPr/>
          <w:p>
            <w:pPr>
              <w:pStyle w:val="Compact"/>
              <w:jc w:val="left"/>
            </w:pPr>
            <w:r>
              <w:t xml:space="preserve">-2.334</w:t>
            </w:r>
          </w:p>
        </w:tc>
      </w:tr>
      <w:tr>
        <w:tc>
          <w:tcPr>
            <w:gridSpan w:val="2"/>
          </w:tcPr>
          <w:p>
            <w:pPr>
              <w:pStyle w:val="Compact"/>
              <w:jc w:val="left"/>
            </w:pPr>
            <w:r>
              <w:rPr>
                <w:bCs/>
                <w:b/>
              </w:rPr>
              <w:t xml:space="preserve">Total PCF (Cradle-to-Gate, Materials + Manufacturing Energy)</w:t>
            </w:r>
          </w:p>
        </w:tc>
        <w:tc>
          <w:tcPr/>
          <w:p>
            <w:pPr>
              <w:pStyle w:val="Compact"/>
              <w:jc w:val="left"/>
            </w:pPr>
            <w:r>
              <w:rPr>
                <w:bCs/>
                <w:b/>
              </w:rPr>
              <w:t xml:space="preserve">4.870</w:t>
            </w:r>
          </w:p>
        </w:tc>
      </w:tr>
      <w:tr>
        <w:tc>
          <w:tcPr>
            <w:gridSpan w:val="2"/>
          </w:tcPr>
          <w:p>
            <w:pPr>
              <w:pStyle w:val="Compact"/>
              <w:jc w:val="left"/>
            </w:pPr>
            <w:r>
              <w:rPr>
                <w:bCs/>
                <w:b/>
              </w:rPr>
              <w:t xml:space="preserve">Total Life Cycle Footprint (Including Downstream &amp; EoL)</w:t>
            </w:r>
          </w:p>
        </w:tc>
        <w:tc>
          <w:tcPr/>
          <w:p>
            <w:pPr>
              <w:pStyle w:val="Compact"/>
              <w:jc w:val="left"/>
            </w:pPr>
            <w:r>
              <w:rPr>
                <w:bCs/>
                <w:b/>
              </w:rPr>
              <w:t xml:space="preserve">39.428</w:t>
            </w:r>
          </w:p>
        </w:tc>
      </w:tr>
    </w:tbl>
    <w:p>
      <w:pPr>
        <w:pStyle w:val="BodyText"/>
      </w:pPr>
      <w:r>
        <w:rPr>
          <w:vertAlign w:val="superscript"/>
        </w:rPr>
        <w:t xml:space="preserve">1</w:t>
      </w:r>
      <w:r>
        <w:rPr>
          <w:iCs/>
          <w:i/>
        </w:rPr>
        <w:t xml:space="preserve">Note on Last-Mile Delivery: The figure of 24.934 kg CO2e represents the full emissions of the courier van for 100km. A more precise per-product allocation would be significantly lower based on freight consolidation. This figure highlights the emission intensity of the delivery channel.</w:t>
      </w:r>
    </w:p>
    <w:bookmarkStart w:id="43" w:name="hotspots-and-reliability"/>
    <w:p>
      <w:pPr>
        <w:pStyle w:val="Heading3"/>
      </w:pPr>
      <w:r>
        <w:t xml:space="preserve">5.1. Hotspots and Reliability</w:t>
      </w:r>
    </w:p>
    <w:p>
      <w:pPr>
        <w:pStyle w:val="FirstParagraph"/>
      </w:pPr>
      <w:r>
        <w:t xml:space="preserve">The primary emission hotspots for nfszunkkfg are identified as:</w:t>
      </w:r>
    </w:p>
    <w:p>
      <w:pPr>
        <w:numPr>
          <w:ilvl w:val="0"/>
          <w:numId w:val="1017"/>
        </w:numPr>
        <w:pStyle w:val="Compact"/>
      </w:pPr>
      <w:r>
        <w:rPr>
          <w:bCs/>
          <w:b/>
        </w:rPr>
        <w:t xml:space="preserve">Downstream Transportation (Last-Mile Delivery):</w:t>
      </w:r>
      <w:r>
        <w:t xml:space="preserve"> </w:t>
      </w:r>
      <w:r>
        <w:t xml:space="preserve">This stage, although outside the strict factory_gate boundary for the PCF, emerges as a significant contributor when considering the full lifecycle. The use of a per-vehicle km emission factor without specific load factor for the product inflates this, indicating the importance of optimized logistics and potentially low-emission delivery vehicles.</w:t>
      </w:r>
    </w:p>
    <w:p>
      <w:pPr>
        <w:numPr>
          <w:ilvl w:val="0"/>
          <w:numId w:val="1017"/>
        </w:numPr>
        <w:pStyle w:val="Compact"/>
      </w:pPr>
      <w:r>
        <w:rPr>
          <w:bCs/>
          <w:b/>
        </w:rPr>
        <w:t xml:space="preserve">Use Phase:</w:t>
      </w:r>
      <w:r>
        <w:t xml:space="preserve"> </w:t>
      </w:r>
      <w:r>
        <w:t xml:space="preserve">The energy consumption during the 5-year lifespan contributes substantially, highlighting the impact of consumer electricity grids.</w:t>
      </w:r>
    </w:p>
    <w:p>
      <w:pPr>
        <w:numPr>
          <w:ilvl w:val="0"/>
          <w:numId w:val="1017"/>
        </w:numPr>
        <w:pStyle w:val="Compact"/>
      </w:pPr>
      <w:r>
        <w:rPr>
          <w:bCs/>
          <w:b/>
        </w:rPr>
        <w:t xml:space="preserve">Material Production:</w:t>
      </w:r>
      <w:r>
        <w:t xml:space="preserve"> </w:t>
      </w:r>
      <w:r>
        <w:t xml:space="preserve">High-impact materials like Lithium-ion batteries and Aluminium contribute considerably to the upstream footprint.</w:t>
      </w:r>
    </w:p>
    <w:p>
      <w:pPr>
        <w:pStyle w:val="FirstParagraph"/>
      </w:pPr>
      <w:r>
        <w:t xml:space="preserve">The reliability of this report is high for the upstream (materials and manufacturing) phase due to the detailed BOM and specific energy data. Emissions factors for transport and electricity grids are based on industry-standard and publicly available data (e.g., GLEC, Climatiq, Climate Transparency, DEFRA). The downstream use phase and end-of-life calculations rely on provided parameters and generalized industry averages for emission factors, providing a reasonable estimation for a holistic view.</w:t>
      </w:r>
    </w:p>
    <w:bookmarkEnd w:id="43"/>
    <w:bookmarkStart w:id="44" w:name="adherence-to-2026-ghg-protocol-updates"/>
    <w:p>
      <w:pPr>
        <w:pStyle w:val="Heading3"/>
      </w:pPr>
      <w:r>
        <w:t xml:space="preserve">5.2. Adherence to 2026 GHG Protocol Updates</w:t>
      </w:r>
    </w:p>
    <w:p>
      <w:pPr>
        <w:numPr>
          <w:ilvl w:val="0"/>
          <w:numId w:val="1018"/>
        </w:numPr>
        <w:pStyle w:val="Compact"/>
      </w:pPr>
      <w:r>
        <w:rPr>
          <w:bCs/>
          <w:b/>
        </w:rPr>
        <w:t xml:space="preserve">GHG Protocol Categorization:</w:t>
      </w:r>
      <w:r>
        <w:t xml:space="preserve"> </w:t>
      </w:r>
      <w:r>
        <w:t xml:space="preserve">All emissions are categorized into Scope 1 (none direct from factory_gate operation in this PCF), Scope 2 (manufacturing electricity), and Scope 3 (materials, transport, use, EoL).</w:t>
      </w:r>
    </w:p>
    <w:p>
      <w:pPr>
        <w:numPr>
          <w:ilvl w:val="0"/>
          <w:numId w:val="1018"/>
        </w:numPr>
        <w:pStyle w:val="Compact"/>
      </w:pPr>
      <w:r>
        <w:rPr>
          <w:bCs/>
          <w:b/>
        </w:rPr>
        <w:t xml:space="preserve">2026 LSR Update:</w:t>
      </w:r>
      <w:r>
        <w:t xml:space="preserve"> </w:t>
      </w:r>
      <w:r>
        <w:t xml:space="preserve">The Land Sector and Removals (LSR) Standard was considered. Based on the product\'s composition (primarily metals, plastics, electronics, glass), no significant direct land-use change emissions or removals were identified or quantified within this analysis. Should nfszunkkfg incorporate bio-based materials with land-use implications, further detailed LSR assessment would be necessary.</w:t>
      </w:r>
    </w:p>
    <w:p>
      <w:pPr>
        <w:numPr>
          <w:ilvl w:val="0"/>
          <w:numId w:val="1018"/>
        </w:numPr>
        <w:pStyle w:val="Compact"/>
      </w:pPr>
      <w:r>
        <w:rPr>
          <w:bCs/>
          <w:b/>
        </w:rPr>
        <w:t xml:space="preserve">Scope 3 Compliance:</w:t>
      </w:r>
      <w:r>
        <w:t xml:space="preserve"> </w:t>
      </w:r>
      <w:r>
        <w:t xml:space="preserve">By incorporating detailed material data, transport, use phase, and EoL, this report aims for comprehensive Scope 3 coverage, exceeding the 95% target.</w:t>
      </w:r>
    </w:p>
    <w:p>
      <w:r>
        <w:pict>
          <v:rect style="width:0;height:1.5pt" o:hralign="center" o:hrstd="t" o:hr="t"/>
        </w:pict>
      </w:r>
    </w:p>
    <w:bookmarkEnd w:id="44"/>
    <w:bookmarkEnd w:id="45"/>
    <w:bookmarkStart w:id="46" w:name="conclusion-and-recommendations"/>
    <w:p>
      <w:pPr>
        <w:pStyle w:val="Heading2"/>
      </w:pPr>
      <w:r>
        <w:t xml:space="preserve">6. Conclusion and Recommendations</w:t>
      </w:r>
    </w:p>
    <w:p>
      <w:pPr>
        <w:pStyle w:val="FirstParagraph"/>
      </w:pPr>
      <w:r>
        <w:t xml:space="preserve">The PCF for nfszunkkfg, specifically for its cradle-to-gate boundary, is 4.870 kg CO2e per unit. When expanding to a full life cycle assessment including downstream transport, use phase, and end-of-life benefits, the total footprint is 39.428 kg CO2e per unit, benefiting from significant recycling credits.</w:t>
      </w:r>
    </w:p>
    <w:p>
      <w:pPr>
        <w:pStyle w:val="BodyText"/>
      </w:pPr>
      <w:r>
        <w:t xml:space="preserve">To reduce the environmental impact of nfszunkkfg,</w:t>
      </w:r>
      <w:r>
        <w:t xml:space="preserve"> </w:t>
      </w:r>
      <w:r>
        <w:rPr>
          <w:bCs/>
          <w:b/>
        </w:rPr>
        <w:t xml:space="preserve">gitekhdhyf</w:t>
      </w:r>
      <w:r>
        <w:t xml:space="preserve"> </w:t>
      </w:r>
      <w:r>
        <w:t xml:space="preserve">should consider:</w:t>
      </w:r>
    </w:p>
    <w:p>
      <w:pPr>
        <w:numPr>
          <w:ilvl w:val="0"/>
          <w:numId w:val="1019"/>
        </w:numPr>
        <w:pStyle w:val="Compact"/>
      </w:pPr>
      <w:r>
        <w:rPr>
          <w:bCs/>
          <w:b/>
        </w:rPr>
        <w:t xml:space="preserve">Material Optimization:</w:t>
      </w:r>
      <w:r>
        <w:t xml:space="preserve"> </w:t>
      </w:r>
      <w:r>
        <w:t xml:space="preserve">Explore lower-carbon alternatives for high-impact materials (e.g., Aluminium, Lithium-ion batteries). Increasing recycled content in these materials can significantly reduce upstream emissions.</w:t>
      </w:r>
    </w:p>
    <w:p>
      <w:pPr>
        <w:numPr>
          <w:ilvl w:val="0"/>
          <w:numId w:val="1019"/>
        </w:numPr>
        <w:pStyle w:val="Compact"/>
      </w:pPr>
      <w:r>
        <w:rPr>
          <w:bCs/>
          <w:b/>
        </w:rPr>
        <w:t xml:space="preserve">Manufacturing Efficiency:</w:t>
      </w:r>
      <w:r>
        <w:t xml:space="preserve"> </w:t>
      </w:r>
      <w:r>
        <w:t xml:space="preserve">Continue efforts to increase renewable energy usage beyond 70% in manufacturing operations in China.</w:t>
      </w:r>
    </w:p>
    <w:p>
      <w:pPr>
        <w:numPr>
          <w:ilvl w:val="0"/>
          <w:numId w:val="1019"/>
        </w:numPr>
        <w:pStyle w:val="Compact"/>
      </w:pPr>
      <w:r>
        <w:rPr>
          <w:bCs/>
          <w:b/>
        </w:rPr>
        <w:t xml:space="preserve">Logistics Optimization:</w:t>
      </w:r>
      <w:r>
        <w:t xml:space="preserve"> </w:t>
      </w:r>
      <w:r>
        <w:t xml:space="preserve">Focus on optimizing transport modes (e.g., shifting from air to sea where possible, optimizing load factors) and exploring lower-emission vehicles for last-mile delivery, especially for the Europe-focused supply chain.</w:t>
      </w:r>
    </w:p>
    <w:p>
      <w:pPr>
        <w:numPr>
          <w:ilvl w:val="0"/>
          <w:numId w:val="1019"/>
        </w:numPr>
        <w:pStyle w:val="Compact"/>
      </w:pPr>
      <w:r>
        <w:rPr>
          <w:bCs/>
          <w:b/>
        </w:rPr>
        <w:t xml:space="preserve">Use Phase Reduction:</w:t>
      </w:r>
      <w:r>
        <w:t xml:space="preserve"> </w:t>
      </w:r>
      <w:r>
        <w:t xml:space="preserve">Design for energy efficiency and educate consumers on efficient product use. Investigating opportunities for product use in regions with cleaner electricity grids could also be beneficial.</w:t>
      </w:r>
    </w:p>
    <w:p>
      <w:pPr>
        <w:numPr>
          <w:ilvl w:val="0"/>
          <w:numId w:val="1019"/>
        </w:numPr>
        <w:pStyle w:val="Compact"/>
      </w:pPr>
      <w:r>
        <w:rPr>
          <w:bCs/>
          <w:b/>
        </w:rPr>
        <w:t xml:space="preserve">Circular Economy Enhancement:</w:t>
      </w:r>
      <w:r>
        <w:t xml:space="preserve"> </w:t>
      </w:r>
      <w:r>
        <w:t xml:space="preserve">Leverage the established take-back program and high recyclability to maximize material recovery and further reduce reliance on virgin materials. Expand recovery efforts for all components, especially electronics and batteries.</w:t>
      </w:r>
    </w:p>
    <w:p>
      <w:pPr>
        <w:pStyle w:val="FirstParagraph"/>
      </w:pPr>
      <w:r>
        <w:t xml:space="preserve">This report provides a robust baseline for</w:t>
      </w:r>
      <w:r>
        <w:t xml:space="preserve"> </w:t>
      </w:r>
      <w:r>
        <w:rPr>
          <w:bCs/>
          <w:b/>
        </w:rPr>
        <w:t xml:space="preserve">gitekhdhyf</w:t>
      </w:r>
      <w:r>
        <w:t xml:space="preserve"> </w:t>
      </w:r>
      <w:r>
        <w:t xml:space="preserve">to track progress and implement effective sustainability strategies for nfszunkkfg.</w:t>
      </w:r>
    </w:p>
    <w:p>
      <w:pPr>
        <w:pStyle w:val="BodyText"/>
      </w:pPr>
      <w:r>
        <w:t xml:space="preserve">Confidential - Internal Use Only</w:t>
      </w:r>
    </w:p>
    <w:p>
      <w:pPr>
        <w:pStyle w:val="BodyText"/>
      </w:pPr>
      <w:r>
        <w:t xml:space="preserve">Page</w:t>
      </w:r>
      <w:r>
        <w:t xml:space="preserve"> </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nfszunkkfg</dc:title>
  <dc:creator/>
  <dc:description>High-detail Product Carbon Footprint (PCF) analysis for nfszunkkfg, adhering to GHG Protocol standards and 2026 LSR Update, performed by owfyqdrutu for gitekhdhyf.</dc:description>
  <dc:language>en</dc:language>
  <cp:keywords/>
  <dcterms:created xsi:type="dcterms:W3CDTF">2026-07-15T00:37:29Z</dcterms:created>
  <dcterms:modified xsi:type="dcterms:W3CDTF">2026-07-15T00:37:29Z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