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nfqkzsjmln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nfqkzsjmln</w:t>
      </w:r>
    </w:p>
    <w:p>
      <w:pPr>
        <w:pStyle w:val="BodyText"/>
      </w:pPr>
      <w:r>
        <w:rPr>
          <w:bCs/>
          <w:b/>
        </w:rPr>
        <w:t xml:space="preserve">Company Name:</w:t>
      </w:r>
      <w:r>
        <w:t xml:space="preserve"> </w:t>
      </w:r>
      <w:r>
        <w:t xml:space="preserve">grvqjsjlzn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mvvdfxxvfj</w:t>
      </w:r>
    </w:p>
    <w:p>
      <w:pPr>
        <w:pStyle w:val="BodyText"/>
      </w:pPr>
      <w:r>
        <w:t xml:space="preserve">Disclaimer: This report is generated based on available data and industry standards. While every effort has been made to ensure accuracy, the actual environmental impacts may vary depending on specific operational details and evolving methodologies.</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Wednesday, May 20, 2026, 07:57 AM UTC</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`nfqkzsjmln`, manufactured by `grvqjsjlzn`. As Senior Sustainability Consultant `mvvdfxxvfj`, this analysis adheres strictly to the Greenhouse Gas (GHG) Protocol Corporate Accounting and Reporting Standard, including the latest 2026 Land Sector and Removals (LSR) Standard updates and proposed Scope 3 reporting thresholds. The aim is to quantify the lifecycle greenhouse gas emissions (in CO2e) associated with the product, from raw material acquisition through end-of-life, identifying key emission hotspots and informing strategic decarbonization efforts.</w:t>
      </w:r>
    </w:p>
    <w:p>
      <w:pPr>
        <w:pStyle w:val="BodyText"/>
      </w:pPr>
      <w:r>
        <w:t xml:space="preserve">The assessment utilizes specific company data for material inputs (Bill of Materials), production energy, transportation logistics, product use phase, and end-of-life scenarios. Emissions are categorized into Scope 1 (direct), Scope 2 (purchased energy), and Scope 3 (value chain) to provide a comprehensive view of the product\'s environmental impact across its lifecycle.</w:t>
      </w:r>
    </w:p>
    <w:p>
      <w:r>
        <w:pict>
          <v:rect style="width:0;height:1.5pt" o:hralign="center" o:hrstd="t" o:hr="t"/>
        </w:pict>
      </w:r>
    </w:p>
    <w:bookmarkEnd w:id="21"/>
    <w:bookmarkStart w:id="26" w:name="defining-the-scope-of-analysis"/>
    <w:p>
      <w:pPr>
        <w:pStyle w:val="Heading2"/>
      </w:pPr>
      <w:r>
        <w:t xml:space="preserve">1. Defining the Scope of Analysis</w:t>
      </w:r>
    </w:p>
    <w:p>
      <w:pPr>
        <w:pStyle w:val="FirstParagraph"/>
      </w:pPr>
      <w:r>
        <w:t xml:space="preserve">The foundational step in this PCF analysis involves clearly defining the parameters and boundaries of the assessment.</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`nfqkzsjmln`</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Cradle-to-grave, with a primary focus on the \'factory_gate\' for direct operational emissions, but extending to cover all upstream and downstream Scope 3 emissions.</w:t>
      </w:r>
    </w:p>
    <w:p>
      <w:pPr>
        <w:numPr>
          <w:ilvl w:val="0"/>
          <w:numId w:val="1002"/>
        </w:numPr>
        <w:pStyle w:val="Compact"/>
      </w:pPr>
      <w:r>
        <w:t xml:space="preserve">Emissions from raw material extraction and processing, manufacturing, transport, use, and end-of-life are included.</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distribution and use phase in Europe, while manufacturing is in China).</w:t>
      </w:r>
    </w:p>
    <w:bookmarkEnd w:id="24"/>
    <w:bookmarkStart w:id="25"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Corporate Accounting and Reporting Standard.</w:t>
      </w:r>
    </w:p>
    <w:p>
      <w:pPr>
        <w:numPr>
          <w:ilvl w:val="0"/>
          <w:numId w:val="1004"/>
        </w:numPr>
        <w:pStyle w:val="Compact"/>
      </w:pPr>
      <w:r>
        <w:rPr>
          <w:bCs/>
          <w:b/>
        </w:rPr>
        <w:t xml:space="preserve">GHG Protocol Scope Definitions:</w:t>
      </w:r>
    </w:p>
    <w:p>
      <w:pPr>
        <w:numPr>
          <w:ilvl w:val="1"/>
          <w:numId w:val="1005"/>
        </w:numPr>
        <w:pStyle w:val="Compact"/>
      </w:pPr>
      <w:r>
        <w:rPr>
          <w:bCs/>
          <w:b/>
        </w:rPr>
        <w:t xml:space="preserve">Scope 1:</w:t>
      </w:r>
      <w:r>
        <w:t xml:space="preserve"> </w:t>
      </w:r>
      <w:r>
        <w:t xml:space="preserve">Direct GHG emissions from sources owned or controlled by `grvqjsjlzn`.</w:t>
      </w:r>
    </w:p>
    <w:p>
      <w:pPr>
        <w:numPr>
          <w:ilvl w:val="1"/>
          <w:numId w:val="1005"/>
        </w:numPr>
        <w:pStyle w:val="Compact"/>
      </w:pPr>
      <w:r>
        <w:rPr>
          <w:bCs/>
          <w:b/>
        </w:rPr>
        <w:t xml:space="preserve">Scope 2:</w:t>
      </w:r>
      <w:r>
        <w:t xml:space="preserve"> </w:t>
      </w:r>
      <w:r>
        <w:t xml:space="preserve">Indirect GHG emissions from the generation of purchased electricity, heat, or steam consumed by `grvqjsjlzn`.</w:t>
      </w:r>
    </w:p>
    <w:p>
      <w:pPr>
        <w:numPr>
          <w:ilvl w:val="1"/>
          <w:numId w:val="1005"/>
        </w:numPr>
        <w:pStyle w:val="Compact"/>
      </w:pPr>
      <w:r>
        <w:rPr>
          <w:bCs/>
          <w:b/>
        </w:rPr>
        <w:t xml:space="preserve">Scope 3:</w:t>
      </w:r>
      <w:r>
        <w:t xml:space="preserve"> </w:t>
      </w:r>
      <w:r>
        <w:t xml:space="preserve">All other indirect GHG emissions that occur in the value chain of `grvqjsjlzn`, both upstream and downstream. This includes emissions from purchased goods and services, capital goods, fuel- and energy-related activities (not in Scope 1 or 2), transportation and distribution, waste generated in operations, business travel, employee commuting, leased assets, processing of sold products, use of sold products, and end-of-life treatment of sold products.</w:t>
      </w:r>
    </w:p>
    <w:p>
      <w:pPr>
        <w:numPr>
          <w:ilvl w:val="0"/>
          <w:numId w:val="1004"/>
        </w:numPr>
        <w:pStyle w:val="Compact"/>
      </w:pPr>
      <w:r>
        <w:rPr>
          <w:bCs/>
          <w:b/>
        </w:rPr>
        <w:t xml:space="preserve">2026 Land Sector and Removals (LSR) Update:</w:t>
      </w:r>
      <w:r>
        <w:t xml:space="preserve"> </w:t>
      </w:r>
      <w:r>
        <w:t xml:space="preserve">The analysis accounts for land use and carbon removals in accordance with the GHG Protocol\'s LSR Standard v1.0, released on January 30, 2026, and effective January 1, 2027. This standard provides accounting requirements for land-based GHG emissions, CO2 removals, and technological CO2 removals.</w:t>
      </w:r>
    </w:p>
    <w:p>
      <w:pPr>
        <w:numPr>
          <w:ilvl w:val="0"/>
          <w:numId w:val="1004"/>
        </w:numPr>
        <w:pStyle w:val="Compact"/>
      </w:pPr>
      <w:r>
        <w:rPr>
          <w:bCs/>
          <w:b/>
        </w:rPr>
        <w:t xml:space="preserve">Scope 3 Compliance:</w:t>
      </w:r>
      <w:r>
        <w:t xml:space="preserve"> </w:t>
      </w:r>
      <w:r>
        <w:t xml:space="preserve">As per the proposed March 2026 GHG Protocol revisions, this report aims for at least 95% coverage of total required Scope 3 emissions, with any exclusions being quantified, disclosed, and justified.</w:t>
      </w:r>
    </w:p>
    <w:p>
      <w:r>
        <w:pict>
          <v:rect style="width:0;height:1.5pt" o:hralign="center" o:hrstd="t" o:hr="t"/>
        </w:pict>
      </w:r>
    </w:p>
    <w:bookmarkEnd w:id="25"/>
    <w:bookmarkEnd w:id="26"/>
    <w:bookmarkStart w:id="33" w:name="Xeceb5f3c4cb430539f02d69dd8b49b0c98a11ff"/>
    <w:p>
      <w:pPr>
        <w:pStyle w:val="Heading2"/>
      </w:pPr>
      <w:r>
        <w:t xml:space="preserve">2. Mapping the Lifecycle (LCI Inventory Stages)</w:t>
      </w:r>
    </w:p>
    <w:p>
      <w:pPr>
        <w:pStyle w:val="FirstParagraph"/>
      </w:pPr>
      <w:r>
        <w:t xml:space="preserve">The lifecycle of `nfqkzsjmln` is mapped to identify all relevant stages for inventory data collection and emission calculation.</w:t>
      </w:r>
    </w:p>
    <w:bookmarkStart w:id="28" w:name="X27a25553588624fb7137dac639b913f4bd3af60"/>
    <w:p>
      <w:pPr>
        <w:pStyle w:val="Heading3"/>
      </w:pPr>
      <w:r>
        <w:t xml:space="preserve">2.1. Material Acquisition &amp; Pre-processing (Upstream - Scope 3)</w:t>
      </w:r>
    </w:p>
    <w:p>
      <w:pPr>
        <w:pStyle w:val="FirstParagraph"/>
      </w:pPr>
      <w:r>
        <w:t xml:space="preserve">This stage covers the extraction of raw materials and their processing into usable forms for manufacturing.</w:t>
      </w:r>
    </w:p>
    <w:bookmarkStart w:id="27" w:name="X89ea21cb81c2a2332e6eda2e47115f86b27312d"/>
    <w:p>
      <w:pPr>
        <w:pStyle w:val="Heading4"/>
      </w:pPr>
      <w:r>
        <w:t xml:space="preserve">Detailed Bill of Materials (BOM) for nfqkzsjmln</w:t>
      </w:r>
    </w:p>
    <w:p>
      <w:pPr>
        <w:pStyle w:val="FirstParagraph"/>
      </w:pPr>
      <w:r>
        <w:t xml:space="preserve">The detailed Bill of Materials (`fgyozddy`) provides precise data for material impact calculation, replacing default estimates. The following illustrative table demonstrates the application of the provided BOM format for key components.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Smelting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t xml:space="preserve">Subtotal Material Emissions (Scope 3 - Purchased goods and services):</w:t>
            </w:r>
          </w:p>
        </w:tc>
        <w:tc>
          <w:tcPr/>
          <w:p>
            <w:pPr>
              <w:pStyle w:val="Compact"/>
              <w:jc w:val="left"/>
            </w:pPr>
            <w:r>
              <w:rPr>
                <w:bCs/>
                <w:b/>
              </w:rPr>
              <w:t xml:space="preserve">1.53</w:t>
            </w:r>
          </w:p>
        </w:tc>
      </w:tr>
    </w:tbl>
    <w:p>
      <w:pPr>
        <w:pStyle w:val="BodyText"/>
      </w:pPr>
      <w:r>
        <w:rPr>
          <w:iCs/>
          <w:i/>
        </w:rPr>
        <w:t xml:space="preserve">Note: Emission Factors are illustrative, reflecting industry averages (e.g., from Ecoinvent/DEFRA) for typical material production processes.</w:t>
      </w:r>
    </w:p>
    <w:bookmarkEnd w:id="27"/>
    <w:bookmarkEnd w:id="28"/>
    <w:bookmarkStart w:id="29" w:name="manufacturingproduction-scope-1-2"/>
    <w:p>
      <w:pPr>
        <w:pStyle w:val="Heading3"/>
      </w:pPr>
      <w:r>
        <w:t xml:space="preserve">2.2. Manufacturing/Production (Scope 1 &amp; 2)</w:t>
      </w:r>
    </w:p>
    <w:p>
      <w:pPr>
        <w:pStyle w:val="FirstParagraph"/>
      </w:pPr>
      <w:r>
        <w:t xml:space="preserve">This stage covers the assembly and finishing of `nfqkzsjmln` in the production facility located in China.</w:t>
      </w:r>
    </w:p>
    <w:p>
      <w:pPr>
        <w:numPr>
          <w:ilvl w:val="0"/>
          <w:numId w:val="1006"/>
        </w:numPr>
        <w:pStyle w:val="Compact"/>
      </w:pPr>
      <w:r>
        <w:rPr>
          <w:bCs/>
          <w:b/>
        </w:rPr>
        <w:t xml:space="preserve">Energy Intensity (kWh/unit):</w:t>
      </w:r>
      <w:r>
        <w:t xml:space="preserve"> </w:t>
      </w:r>
      <w:r>
        <w:t xml:space="preserve">`hhepjkhoty` (e.g., 5 kWh/unit assumed)</w:t>
      </w:r>
    </w:p>
    <w:p>
      <w:pPr>
        <w:numPr>
          <w:ilvl w:val="0"/>
          <w:numId w:val="1006"/>
        </w:numPr>
        <w:pStyle w:val="Compact"/>
      </w:pPr>
      <w:r>
        <w:rPr>
          <w:bCs/>
          <w:b/>
        </w:rPr>
        <w:t xml:space="preserve">Renewable Energy Usage:</w:t>
      </w:r>
      <w:r>
        <w:t xml:space="preserve"> </w:t>
      </w:r>
      <w:r>
        <w:t xml:space="preserve">`ugtvulslep` (e.g., 40% assumed)</w:t>
      </w:r>
    </w:p>
    <w:p>
      <w:pPr>
        <w:numPr>
          <w:ilvl w:val="0"/>
          <w:numId w:val="1006"/>
        </w:numPr>
        <w:pStyle w:val="Compact"/>
      </w:pPr>
      <w:r>
        <w:rPr>
          <w:bCs/>
          <w:b/>
        </w:rPr>
        <w:t xml:space="preserve">Direct Emissions (Scope 1):</w:t>
      </w:r>
      <w:r>
        <w:t xml:space="preserve"> </w:t>
      </w:r>
      <w:r>
        <w:t xml:space="preserve">Any on-site fuel combustion (e.g., natural gas for heating) would be included here. For this analysis, assuming primary emissions are from purchased electricity.</w:t>
      </w:r>
    </w:p>
    <w:p>
      <w:pPr>
        <w:numPr>
          <w:ilvl w:val="0"/>
          <w:numId w:val="1006"/>
        </w:numPr>
        <w:pStyle w:val="Compact"/>
      </w:pPr>
      <w:r>
        <w:rPr>
          <w:bCs/>
          <w:b/>
        </w:rPr>
        <w:t xml:space="preserve">Indirect Emissions from Purchased Energy (Scope 2):</w:t>
      </w:r>
      <w:r>
        <w:t xml:space="preserve"> </w:t>
      </w:r>
      <w:r>
        <w:t xml:space="preserve">Electricity consumption for manufacturing.</w:t>
      </w:r>
    </w:p>
    <w:bookmarkEnd w:id="29"/>
    <w:bookmarkStart w:id="30" w:name="Xa1d8eb1017c9433f871ad3f6273ddc9b35a7d84"/>
    <w:p>
      <w:pPr>
        <w:pStyle w:val="Heading3"/>
      </w:pPr>
      <w:r>
        <w:t xml:space="preserve">2.3. Transportation &amp; Distribution (Upstream &amp; Downstream - Scope 3)</w:t>
      </w:r>
    </w:p>
    <w:p>
      <w:pPr>
        <w:pStyle w:val="FirstParagraph"/>
      </w:pPr>
      <w:r>
        <w:t xml:space="preserve">This includes all transportation from raw material suppliers to the factory, and from the factory to the end consumer.</w:t>
      </w:r>
    </w:p>
    <w:p>
      <w:pPr>
        <w:numPr>
          <w:ilvl w:val="0"/>
          <w:numId w:val="1007"/>
        </w:numPr>
        <w:pStyle w:val="Compact"/>
      </w:pPr>
      <w:r>
        <w:rPr>
          <w:bCs/>
          <w:b/>
        </w:rPr>
        <w:t xml:space="preserve">Transport Mode (Main Freight):</w:t>
      </w:r>
      <w:r>
        <w:t xml:space="preserve"> </w:t>
      </w:r>
      <w:r>
        <w:t xml:space="preserve">`Select Mode` (e.g., Road Freight assumed for illustrative calculations)</w:t>
      </w:r>
    </w:p>
    <w:p>
      <w:pPr>
        <w:numPr>
          <w:ilvl w:val="0"/>
          <w:numId w:val="1007"/>
        </w:numPr>
        <w:pStyle w:val="Compact"/>
      </w:pPr>
      <w:r>
        <w:rPr>
          <w:bCs/>
          <w:b/>
        </w:rPr>
        <w:t xml:space="preserve">Transport Distance (Main Freight):</w:t>
      </w:r>
      <w:r>
        <w:t xml:space="preserve"> </w:t>
      </w:r>
      <w:r>
        <w:t xml:space="preserve">`xqsgmmimym` (e.g., 1500 km assumed for factory to regional distribution hub)</w:t>
      </w:r>
    </w:p>
    <w:p>
      <w:pPr>
        <w:numPr>
          <w:ilvl w:val="0"/>
          <w:numId w:val="1007"/>
        </w:numPr>
        <w:pStyle w:val="Compact"/>
      </w:pPr>
      <w:r>
        <w:rPr>
          <w:bCs/>
          <w:b/>
        </w:rPr>
        <w:t xml:space="preserve">Last-Mile Delivery Channel:</w:t>
      </w:r>
      <w:r>
        <w:t xml:space="preserve"> </w:t>
      </w:r>
      <w:r>
        <w:t xml:space="preserve">`Delivery Type` (e.g., Road Freight assumed for illustrative calculations)</w:t>
      </w:r>
    </w:p>
    <w:p>
      <w:pPr>
        <w:numPr>
          <w:ilvl w:val="0"/>
          <w:numId w:val="1007"/>
        </w:numPr>
        <w:pStyle w:val="Compact"/>
      </w:pPr>
      <w:r>
        <w:rPr>
          <w:bCs/>
          <w:b/>
        </w:rPr>
        <w:t xml:space="preserve">Last-Mile Delivery Distance:</w:t>
      </w:r>
      <w:r>
        <w:t xml:space="preserve"> </w:t>
      </w:r>
      <w:r>
        <w:t xml:space="preserve">(e.g., 100 km assumed from regional hub to consumer)</w:t>
      </w:r>
    </w:p>
    <w:p>
      <w:pPr>
        <w:numPr>
          <w:ilvl w:val="0"/>
          <w:numId w:val="1007"/>
        </w:numPr>
        <w:pStyle w:val="Compact"/>
      </w:pPr>
      <w:r>
        <w:t xml:space="preserve">This falls under Scope 3, Categories 4 (Upstream transportation and distribution) and 9 (Downstream transportation and distribution).</w:t>
      </w:r>
    </w:p>
    <w:bookmarkEnd w:id="30"/>
    <w:bookmarkStart w:id="31" w:name="use-phase-downstream---scope-3"/>
    <w:p>
      <w:pPr>
        <w:pStyle w:val="Heading3"/>
      </w:pPr>
      <w:r>
        <w:t xml:space="preserve">2.4. Use Phase (Downstream - Scope 3)</w:t>
      </w:r>
    </w:p>
    <w:p>
      <w:pPr>
        <w:pStyle w:val="FirstParagraph"/>
      </w:pPr>
      <w:r>
        <w:t xml:space="preserve">Emissions generated during the active use of `nfqkzsjmln` by the consumer.</w:t>
      </w:r>
    </w:p>
    <w:p>
      <w:pPr>
        <w:numPr>
          <w:ilvl w:val="0"/>
          <w:numId w:val="1008"/>
        </w:numPr>
        <w:pStyle w:val="Compact"/>
      </w:pPr>
      <w:r>
        <w:rPr>
          <w:bCs/>
          <w:b/>
        </w:rPr>
        <w:t xml:space="preserve">Product Lifespan:</w:t>
      </w:r>
      <w:r>
        <w:t xml:space="preserve"> </w:t>
      </w:r>
      <w:r>
        <w:t xml:space="preserve">`pzrjftgsye` (e.g., 5 years assumed)</w:t>
      </w:r>
    </w:p>
    <w:p>
      <w:pPr>
        <w:numPr>
          <w:ilvl w:val="0"/>
          <w:numId w:val="1008"/>
        </w:numPr>
        <w:pStyle w:val="Compact"/>
      </w:pPr>
      <w:r>
        <w:rPr>
          <w:bCs/>
          <w:b/>
        </w:rPr>
        <w:t xml:space="preserve">Energy Consumption in Use (per year):</w:t>
      </w:r>
      <w:r>
        <w:t xml:space="preserve"> </w:t>
      </w:r>
      <w:r>
        <w:t xml:space="preserve">`odwdosdgfq` (e.g., 10 kWh/year assumed)</w:t>
      </w:r>
    </w:p>
    <w:p>
      <w:pPr>
        <w:numPr>
          <w:ilvl w:val="0"/>
          <w:numId w:val="1008"/>
        </w:numPr>
        <w:pStyle w:val="Compact"/>
      </w:pPr>
      <w:r>
        <w:t xml:space="preserve">This falls under Scope 3, Category 11 (Use of sold products).</w:t>
      </w:r>
    </w:p>
    <w:bookmarkEnd w:id="31"/>
    <w:bookmarkStart w:id="32" w:name="end-of-life-eol-downstream---scope-3"/>
    <w:p>
      <w:pPr>
        <w:pStyle w:val="Heading3"/>
      </w:pPr>
      <w:r>
        <w:t xml:space="preserve">2.5. End-of-Life (EoL) (Downstream - Scope 3)</w:t>
      </w:r>
    </w:p>
    <w:p>
      <w:pPr>
        <w:pStyle w:val="FirstParagraph"/>
      </w:pPr>
      <w:r>
        <w:t xml:space="preserve">Emissions associated with the disposal or recycling of `nfqkzsjmln` at the end of its functional life.</w:t>
      </w:r>
    </w:p>
    <w:p>
      <w:pPr>
        <w:numPr>
          <w:ilvl w:val="0"/>
          <w:numId w:val="1009"/>
        </w:numPr>
        <w:pStyle w:val="Compact"/>
      </w:pPr>
      <w:r>
        <w:rPr>
          <w:bCs/>
          <w:b/>
        </w:rPr>
        <w:t xml:space="preserve">Recyclability Percentage:</w:t>
      </w:r>
      <w:r>
        <w:t xml:space="preserve"> </w:t>
      </w:r>
      <w:r>
        <w:t xml:space="preserve">`pnirjwhkdz` (e.g., 70% assumed for main materials)</w:t>
      </w:r>
    </w:p>
    <w:p>
      <w:pPr>
        <w:numPr>
          <w:ilvl w:val="0"/>
          <w:numId w:val="1009"/>
        </w:numPr>
        <w:pStyle w:val="Compact"/>
      </w:pPr>
      <w:r>
        <w:rPr>
          <w:bCs/>
          <w:b/>
        </w:rPr>
        <w:t xml:space="preserve">Circular/Take-back Programs:</w:t>
      </w:r>
      <w:r>
        <w:t xml:space="preserve"> </w:t>
      </w:r>
      <w:r>
        <w:t xml:space="preserve">`yuhoztrqls` (Presence acknowledged, contributing to reduced EoL impact through recovery and recycling)</w:t>
      </w:r>
    </w:p>
    <w:p>
      <w:pPr>
        <w:numPr>
          <w:ilvl w:val="0"/>
          <w:numId w:val="1009"/>
        </w:numPr>
        <w:pStyle w:val="Compact"/>
      </w:pPr>
      <w:r>
        <w:t xml:space="preserve">This falls under Scope 3, Category 12 (End-of-life treatment of sold products).</w:t>
      </w:r>
    </w:p>
    <w:p>
      <w:r>
        <w:pict>
          <v:rect style="width:0;height:1.5pt" o:hralign="center" o:hrstd="t" o:hr="t"/>
        </w:pict>
      </w:r>
    </w:p>
    <w:bookmarkEnd w:id="32"/>
    <w:bookmarkEnd w:id="33"/>
    <w:bookmarkStart w:id="36" w:name="X7b6d01ce7b6bfe45f00681616505557cddf238f"/>
    <w:p>
      <w:pPr>
        <w:pStyle w:val="Heading2"/>
      </w:pPr>
      <w:r>
        <w:t xml:space="preserve">3. Data Collection (Primary/Secondary Data Points)</w:t>
      </w:r>
    </w:p>
    <w:p>
      <w:pPr>
        <w:pStyle w:val="FirstParagraph"/>
      </w:pPr>
      <w:r>
        <w:t xml:space="preserve">Data for this PCF analysis is derived from a combination of specific product and company parameters, supplemented by industry-average emission factors where primary data is unavailable or deemed less accurate.</w:t>
      </w:r>
    </w:p>
    <w:bookmarkStart w:id="34" w:name="primary-data"/>
    <w:p>
      <w:pPr>
        <w:pStyle w:val="Heading3"/>
      </w:pPr>
      <w:r>
        <w:t xml:space="preserve">3.1. Primary Data</w:t>
      </w:r>
    </w:p>
    <w:p>
      <w:pPr>
        <w:numPr>
          <w:ilvl w:val="0"/>
          <w:numId w:val="1010"/>
        </w:numPr>
        <w:pStyle w:val="Compact"/>
      </w:pPr>
      <w:r>
        <w:t xml:space="preserve">Detailed Bill of Materials (`fgyozddy`) for all components of `nfqkzsjmln`.</w:t>
      </w:r>
    </w:p>
    <w:p>
      <w:pPr>
        <w:numPr>
          <w:ilvl w:val="0"/>
          <w:numId w:val="1010"/>
        </w:numPr>
        <w:pStyle w:val="Compact"/>
      </w:pPr>
      <w:r>
        <w:t xml:space="preserve">Energy Intensity (`hhepjkhoty`) of the production process.</w:t>
      </w:r>
    </w:p>
    <w:p>
      <w:pPr>
        <w:numPr>
          <w:ilvl w:val="0"/>
          <w:numId w:val="1010"/>
        </w:numPr>
        <w:pStyle w:val="Compact"/>
      </w:pPr>
      <w:r>
        <w:t xml:space="preserve">Renewable Energy Usage (`ugtvulslep`) at the manufacturing facility.</w:t>
      </w:r>
    </w:p>
    <w:p>
      <w:pPr>
        <w:numPr>
          <w:ilvl w:val="0"/>
          <w:numId w:val="1010"/>
        </w:numPr>
        <w:pStyle w:val="Compact"/>
      </w:pPr>
      <w:r>
        <w:t xml:space="preserve">Specific Transport Distance (`xqsgmmimym`).</w:t>
      </w:r>
    </w:p>
    <w:p>
      <w:pPr>
        <w:numPr>
          <w:ilvl w:val="0"/>
          <w:numId w:val="1010"/>
        </w:numPr>
        <w:pStyle w:val="Compact"/>
      </w:pPr>
      <w:r>
        <w:t xml:space="preserve">Product Lifespan (`pzrjftgsye`).</w:t>
      </w:r>
    </w:p>
    <w:p>
      <w:pPr>
        <w:numPr>
          <w:ilvl w:val="0"/>
          <w:numId w:val="1010"/>
        </w:numPr>
        <w:pStyle w:val="Compact"/>
      </w:pPr>
      <w:r>
        <w:t xml:space="preserve">Energy Consumption in Use (`odwdosdgfq`).</w:t>
      </w:r>
    </w:p>
    <w:p>
      <w:pPr>
        <w:numPr>
          <w:ilvl w:val="0"/>
          <w:numId w:val="1010"/>
        </w:numPr>
        <w:pStyle w:val="Compact"/>
      </w:pPr>
      <w:r>
        <w:t xml:space="preserve">Recyclability Percentage (`pnirjwhkdz`) and existence of Circular/Take-back Programs (`yuhoztrqls`).</w:t>
      </w:r>
    </w:p>
    <w:bookmarkEnd w:id="34"/>
    <w:bookmarkStart w:id="35" w:name="secondary-data-emission-factors"/>
    <w:p>
      <w:pPr>
        <w:pStyle w:val="Heading3"/>
      </w:pPr>
      <w:r>
        <w:t xml:space="preserve">3.2. Secondary Data (Emission Factors)</w:t>
      </w:r>
    </w:p>
    <w:p>
      <w:pPr>
        <w:pStyle w:val="FirstParagraph"/>
      </w:pPr>
      <w:r>
        <w:t xml:space="preserve">Industry-standard emission factors are sourced from reputable databases such as Ecoinvent and DEFRA. These factors convert activity data (e.g., kg of material, kWh of electricity, tonne-km of transport) into CO2e emissions.</w:t>
      </w:r>
    </w:p>
    <w:p>
      <w:pPr>
        <w:numPr>
          <w:ilvl w:val="0"/>
          <w:numId w:val="1011"/>
        </w:numPr>
        <w:pStyle w:val="Compact"/>
      </w:pPr>
      <w:r>
        <w:rPr>
          <w:bCs/>
          <w:b/>
        </w:rPr>
        <w:t xml:space="preserve">Electricity Grid Emission Factor (China):</w:t>
      </w:r>
      <w:r>
        <w:t xml:space="preserve"> </w:t>
      </w:r>
      <w:r>
        <w:t xml:space="preserve">For manufacturing in China, an average grid emission factor of 0.61 kg CO2e/kWh is used.</w:t>
      </w:r>
    </w:p>
    <w:p>
      <w:pPr>
        <w:numPr>
          <w:ilvl w:val="0"/>
          <w:numId w:val="1011"/>
        </w:numPr>
        <w:pStyle w:val="Compact"/>
      </w:pPr>
      <w:r>
        <w:rPr>
          <w:bCs/>
          <w:b/>
        </w:rPr>
        <w:t xml:space="preserve">Electricity Grid Emission Factor (Europe):</w:t>
      </w:r>
      <w:r>
        <w:t xml:space="preserve"> </w:t>
      </w:r>
      <w:r>
        <w:t xml:space="preserve">For the use phase in Europe, an average grid emission factor of 0.20 kg CO2e/kWh is used.</w:t>
      </w:r>
    </w:p>
    <w:p>
      <w:pPr>
        <w:numPr>
          <w:ilvl w:val="0"/>
          <w:numId w:val="1011"/>
        </w:numPr>
        <w:pStyle w:val="Compact"/>
      </w:pPr>
      <w:r>
        <w:rPr>
          <w:bCs/>
          <w:b/>
        </w:rPr>
        <w:t xml:space="preserve">Road Freight Emission Factor:</w:t>
      </w:r>
      <w:r>
        <w:t xml:space="preserve"> </w:t>
      </w:r>
      <w:r>
        <w:t xml:space="preserve">An illustrative average of 0.08 kg CO2e per tonne-kilometer (tkm) is used for road transport.</w:t>
      </w:r>
    </w:p>
    <w:p>
      <w:pPr>
        <w:numPr>
          <w:ilvl w:val="0"/>
          <w:numId w:val="1011"/>
        </w:numPr>
        <w:pStyle w:val="Compact"/>
      </w:pPr>
      <w:r>
        <w:rPr>
          <w:bCs/>
          <w:b/>
        </w:rPr>
        <w:t xml:space="preserve">Material-specific Emission Factors:</w:t>
      </w:r>
      <w:r>
        <w:t xml:space="preserve"> </w:t>
      </w:r>
      <w:r>
        <w:t xml:space="preserve">Used for components in the BOM, based on material type and production process (e.g., ~1.5-6.0 kg CO2e/kg for metals, ~2.0-3.5 kg CO2e/kg for plastics).</w:t>
      </w:r>
    </w:p>
    <w:p>
      <w:pPr>
        <w:numPr>
          <w:ilvl w:val="0"/>
          <w:numId w:val="1011"/>
        </w:numPr>
        <w:pStyle w:val="Compact"/>
      </w:pPr>
      <w:r>
        <w:rPr>
          <w:bCs/>
          <w:b/>
        </w:rPr>
        <w:t xml:space="preserve">End-of-Life Emission Factor:</w:t>
      </w:r>
      <w:r>
        <w:t xml:space="preserve"> </w:t>
      </w:r>
      <w:r>
        <w:t xml:space="preserve">A generic EoL emission factor for the primary material (e.g., ~1.0 kg CO2e/kg for plastic disposal before considering recycling credits) is applied, adjusted by recyclability.</w:t>
      </w:r>
    </w:p>
    <w:p>
      <w:r>
        <w:pict>
          <v:rect style="width:0;height:1.5pt" o:hralign="center" o:hrstd="t" o:hr="t"/>
        </w:pict>
      </w:r>
    </w:p>
    <w:bookmarkEnd w:id="35"/>
    <w:bookmarkEnd w:id="36"/>
    <w:bookmarkStart w:id="43" w:name="X2c62247db19834934c44c209ad423fe06ba5c64"/>
    <w:p>
      <w:pPr>
        <w:pStyle w:val="Heading2"/>
      </w:pPr>
      <w:r>
        <w:t xml:space="preserve">4. Calculation of Emissions (Activity * Emission Factor = CO2e)</w:t>
      </w:r>
    </w:p>
    <w:p>
      <w:pPr>
        <w:pStyle w:val="FirstParagraph"/>
      </w:pPr>
      <w:r>
        <w:t xml:space="preserve">This section details the calculation of GHG emissions for each lifecycle stage, categorized by GHG Protocol scopes. All calculations are performed for a functional unit of 1.0 product unit of `nfqkzsjmln`.</w:t>
      </w:r>
    </w:p>
    <w:bookmarkStart w:id="37" w:name="X1198c8af25dd1a2ebffa686809674f976343a37"/>
    <w:p>
      <w:pPr>
        <w:pStyle w:val="Heading3"/>
      </w:pPr>
      <w:r>
        <w:t xml:space="preserve">4.1. Material Acquisition &amp; Pre-processing (Scope 3 - Upstream)</w:t>
      </w:r>
    </w:p>
    <w:p>
      <w:pPr>
        <w:pStyle w:val="FirstParagraph"/>
      </w:pPr>
      <w:r>
        <w:t xml:space="preserve">Emissions from the Bill of Materials (BOM) are calculated by multiplying the quantity of each material by its respective emission factor.</w:t>
      </w:r>
    </w:p>
    <w:p>
      <w:pPr>
        <w:pStyle w:val="BodyText"/>
      </w:pPr>
      <w:r>
        <w:rPr>
          <w:bCs/>
          <w:b/>
        </w:rPr>
        <w:t xml:space="preserve">Total Material Emissions:</w:t>
      </w:r>
      <w:r>
        <w:t xml:space="preserve"> </w:t>
      </w:r>
      <w:r>
        <w:t xml:space="preserve">1.53 kg CO2e (from BOM table above)</w:t>
      </w:r>
    </w:p>
    <w:bookmarkEnd w:id="37"/>
    <w:bookmarkStart w:id="38" w:name="manufacturingproduction-scope-1-2-1"/>
    <w:p>
      <w:pPr>
        <w:pStyle w:val="Heading3"/>
      </w:pPr>
      <w:r>
        <w:t xml:space="preserve">4.2. Manufacturing/Production (Scope 1 &amp; 2)</w:t>
      </w:r>
    </w:p>
    <w:p>
      <w:pPr>
        <w:pStyle w:val="FirstParagraph"/>
      </w:pPr>
      <w:r>
        <w:t xml:space="preserve">Assuming no significant direct (Scope 1) emissions from owned/controlled sources at the factory gate. The primary emissions here are from purchased electricity (Scope 2).</w:t>
      </w:r>
    </w:p>
    <w:p>
      <w:pPr>
        <w:numPr>
          <w:ilvl w:val="0"/>
          <w:numId w:val="1012"/>
        </w:numPr>
        <w:pStyle w:val="Compact"/>
      </w:pPr>
      <w:r>
        <w:t xml:space="preserve">Energy Intensity (`hhepjkhoty`): 5 kWh/unit (assumed)</w:t>
      </w:r>
    </w:p>
    <w:p>
      <w:pPr>
        <w:numPr>
          <w:ilvl w:val="0"/>
          <w:numId w:val="1012"/>
        </w:numPr>
        <w:pStyle w:val="Compact"/>
      </w:pPr>
      <w:r>
        <w:t xml:space="preserve">Renewable Energy Usage (`ugtvulslep`): 40% (assumed)</w:t>
      </w:r>
    </w:p>
    <w:p>
      <w:pPr>
        <w:numPr>
          <w:ilvl w:val="0"/>
          <w:numId w:val="1012"/>
        </w:numPr>
        <w:pStyle w:val="Compact"/>
      </w:pPr>
      <w:r>
        <w:t xml:space="preserve">Non-renewable Energy Usage: 100% - 40% = 60%</w:t>
      </w:r>
    </w:p>
    <w:p>
      <w:pPr>
        <w:numPr>
          <w:ilvl w:val="0"/>
          <w:numId w:val="1012"/>
        </w:numPr>
        <w:pStyle w:val="Compact"/>
      </w:pPr>
      <w:r>
        <w:t xml:space="preserve">China Grid Emission Factor: 0.61 kg CO2e/kWh (assumed based on 2025 data).</w:t>
      </w:r>
    </w:p>
    <w:p>
      <w:pPr>
        <w:pStyle w:val="FirstParagraph"/>
      </w:pPr>
      <w:r>
        <w:rPr>
          <w:bCs/>
          <w:b/>
        </w:rPr>
        <w:t xml:space="preserve">Calculation:</w:t>
      </w:r>
    </w:p>
    <w:p>
      <w:pPr>
        <w:pStyle w:val="BodyText"/>
      </w:pPr>
      <w:r>
        <w:t xml:space="preserve">Purchased Electricity Emissions (Scope 2) = Energy Intensity * (1 - Renewable Energy Usage / 100) * China Grid Emission Factor</w:t>
      </w:r>
      <w:r>
        <w:br/>
      </w:r>
      <w:r>
        <w:t xml:space="preserve">= 5 kWh/unit * (1 - 0.40) * 0.61 kg CO2e/kWh</w:t>
      </w:r>
      <w:r>
        <w:br/>
      </w:r>
      <w:r>
        <w:t xml:space="preserve">= 5 kWh/unit * 0.60 * 0.61 kg CO2e/kWh</w:t>
      </w:r>
      <w:r>
        <w:br/>
      </w:r>
      <w:r>
        <w:t xml:space="preserve">=</w:t>
      </w:r>
      <w:r>
        <w:t xml:space="preserve"> </w:t>
      </w:r>
      <w:r>
        <w:rPr>
          <w:bCs/>
          <w:b/>
        </w:rPr>
        <w:t xml:space="preserve">1.83 kg CO2e/unit</w:t>
      </w:r>
    </w:p>
    <w:bookmarkEnd w:id="38"/>
    <w:bookmarkStart w:id="39" w:name="Xb28e6b746c55ccee7c13ebe725ade644fd176e6"/>
    <w:p>
      <w:pPr>
        <w:pStyle w:val="Heading3"/>
      </w:pPr>
      <w:r>
        <w:t xml:space="preserve">4.3. Transportation &amp; Distribution (Scope 3 - Upstream &amp; Downstream)</w:t>
      </w:r>
    </w:p>
    <w:p>
      <w:pPr>
        <w:pStyle w:val="FirstParagraph"/>
      </w:pPr>
      <w:r>
        <w:t xml:space="preserve">For calculation purposes, we assume the product `nfqkzsjmln` has an average weight of 0.5 kg per unit.</w:t>
      </w:r>
    </w:p>
    <w:p>
      <w:pPr>
        <w:numPr>
          <w:ilvl w:val="0"/>
          <w:numId w:val="1013"/>
        </w:numPr>
        <w:pStyle w:val="Compact"/>
      </w:pPr>
      <w:r>
        <w:t xml:space="preserve">Product Weight: 0.5 kg/unit</w:t>
      </w:r>
    </w:p>
    <w:p>
      <w:pPr>
        <w:numPr>
          <w:ilvl w:val="0"/>
          <w:numId w:val="1013"/>
        </w:numPr>
        <w:pStyle w:val="Compact"/>
      </w:pPr>
      <w:r>
        <w:t xml:space="preserve">Main Freight Distance (`xqsgmmimym`): 1500 km (assumed)</w:t>
      </w:r>
    </w:p>
    <w:p>
      <w:pPr>
        <w:numPr>
          <w:ilvl w:val="0"/>
          <w:numId w:val="1013"/>
        </w:numPr>
        <w:pStyle w:val="Compact"/>
      </w:pPr>
      <w:r>
        <w:t xml:space="preserve">Last-Mile Delivery Distance: 100 km (assumed)</w:t>
      </w:r>
    </w:p>
    <w:p>
      <w:pPr>
        <w:numPr>
          <w:ilvl w:val="0"/>
          <w:numId w:val="1013"/>
        </w:numPr>
        <w:pStyle w:val="Compact"/>
      </w:pPr>
      <w:r>
        <w:t xml:space="preserve">Total Transport Distance: 1600 km</w:t>
      </w:r>
    </w:p>
    <w:p>
      <w:pPr>
        <w:numPr>
          <w:ilvl w:val="0"/>
          <w:numId w:val="1013"/>
        </w:numPr>
        <w:pStyle w:val="Compact"/>
      </w:pPr>
      <w:r>
        <w:t xml:space="preserve">Road Freight Emission Factor: 0.08 kg CO2e/tonne-km (assumed)</w:t>
      </w:r>
    </w:p>
    <w:p>
      <w:pPr>
        <w:pStyle w:val="FirstParagraph"/>
      </w:pPr>
      <w:r>
        <w:rPr>
          <w:bCs/>
          <w:b/>
        </w:rPr>
        <w:t xml:space="preserve">Calculation:</w:t>
      </w:r>
    </w:p>
    <w:p>
      <w:pPr>
        <w:pStyle w:val="BodyText"/>
      </w:pPr>
      <w:r>
        <w:t xml:space="preserve">Transport Emissions (Scope 3) = (Product Weight / 1000 kg/tonne) * Total Transport Distance * Road Freight Emission Factor</w:t>
      </w:r>
      <w:r>
        <w:br/>
      </w:r>
      <w:r>
        <w:t xml:space="preserve">= (0.5 kg / 1000) tonne * 1600 km * 0.08 kg CO2e/tonne-km</w:t>
      </w:r>
      <w:r>
        <w:br/>
      </w:r>
      <w:r>
        <w:t xml:space="preserve">= 0.0005 tonne * 1600 km * 0.08 kg CO2e/tonne-km</w:t>
      </w:r>
      <w:r>
        <w:br/>
      </w:r>
      <w:r>
        <w:t xml:space="preserve">=</w:t>
      </w:r>
      <w:r>
        <w:t xml:space="preserve"> </w:t>
      </w:r>
      <w:r>
        <w:rPr>
          <w:bCs/>
          <w:b/>
        </w:rPr>
        <w:t xml:space="preserve">0.064 kg CO2e/unit</w:t>
      </w:r>
    </w:p>
    <w:bookmarkEnd w:id="39"/>
    <w:bookmarkStart w:id="40" w:name="use-phase-scope-3---downstream"/>
    <w:p>
      <w:pPr>
        <w:pStyle w:val="Heading3"/>
      </w:pPr>
      <w:r>
        <w:t xml:space="preserve">4.4. Use Phase (Scope 3 - Downstream)</w:t>
      </w:r>
    </w:p>
    <w:p>
      <w:pPr>
        <w:pStyle w:val="FirstParagraph"/>
      </w:pPr>
      <w:r>
        <w:t xml:space="preserve">Emissions from energy consumption during the product\'s lifespan, assuming the use occurs in Europe.</w:t>
      </w:r>
    </w:p>
    <w:p>
      <w:pPr>
        <w:numPr>
          <w:ilvl w:val="0"/>
          <w:numId w:val="1014"/>
        </w:numPr>
        <w:pStyle w:val="Compact"/>
      </w:pPr>
      <w:r>
        <w:t xml:space="preserve">Product Lifespan (`pzrjftgsye`): 5 years (assumed)</w:t>
      </w:r>
    </w:p>
    <w:p>
      <w:pPr>
        <w:numPr>
          <w:ilvl w:val="0"/>
          <w:numId w:val="1014"/>
        </w:numPr>
        <w:pStyle w:val="Compact"/>
      </w:pPr>
      <w:r>
        <w:t xml:space="preserve">Energy Consumption in Use (`odwdosdgfq`): 10 kWh/year (assumed)</w:t>
      </w:r>
    </w:p>
    <w:p>
      <w:pPr>
        <w:numPr>
          <w:ilvl w:val="0"/>
          <w:numId w:val="1014"/>
        </w:numPr>
        <w:pStyle w:val="Compact"/>
      </w:pPr>
      <w:r>
        <w:t xml:space="preserve">Europe Grid Emission Factor: 0.20 kg CO2e/kWh (assumed).</w:t>
      </w:r>
    </w:p>
    <w:p>
      <w:pPr>
        <w:pStyle w:val="FirstParagraph"/>
      </w:pPr>
      <w:r>
        <w:rPr>
          <w:bCs/>
          <w:b/>
        </w:rPr>
        <w:t xml:space="preserve">Calculation:</w:t>
      </w:r>
    </w:p>
    <w:p>
      <w:pPr>
        <w:pStyle w:val="BodyText"/>
      </w:pPr>
      <w:r>
        <w:t xml:space="preserve">Use Phase Emissions (Scope 3) = Energy Consumption in Use * Product Lifespan * Europe Grid Emission Factor</w:t>
      </w:r>
      <w:r>
        <w:br/>
      </w:r>
      <w:r>
        <w:t xml:space="preserve">= 10 kWh/year * 5 years * 0.20 kg CO2e/kWh</w:t>
      </w:r>
      <w:r>
        <w:br/>
      </w:r>
      <w:r>
        <w:t xml:space="preserve">=</w:t>
      </w:r>
      <w:r>
        <w:t xml:space="preserve"> </w:t>
      </w:r>
      <w:r>
        <w:rPr>
          <w:bCs/>
          <w:b/>
        </w:rPr>
        <w:t xml:space="preserve">10.00 kg CO2e/unit</w:t>
      </w:r>
    </w:p>
    <w:bookmarkEnd w:id="40"/>
    <w:bookmarkStart w:id="41" w:name="end-of-life-eol-scope-3---downstream"/>
    <w:p>
      <w:pPr>
        <w:pStyle w:val="Heading3"/>
      </w:pPr>
      <w:r>
        <w:t xml:space="preserve">4.5. End-of-Life (EoL) (Scope 3 - Downstream)</w:t>
      </w:r>
    </w:p>
    <w:p>
      <w:pPr>
        <w:pStyle w:val="FirstParagraph"/>
      </w:pPr>
      <w:r>
        <w:t xml:space="preserve">EoL emissions are calculated considering the recyclability of the product. Assuming a baseline EoL emission factor for the non-recycled portion.</w:t>
      </w:r>
    </w:p>
    <w:p>
      <w:pPr>
        <w:numPr>
          <w:ilvl w:val="0"/>
          <w:numId w:val="1015"/>
        </w:numPr>
        <w:pStyle w:val="Compact"/>
      </w:pPr>
      <w:r>
        <w:t xml:space="preserve">Recyclability Percentage (`pnirjwhkdz`): 70% (assumed for main materials)</w:t>
      </w:r>
    </w:p>
    <w:p>
      <w:pPr>
        <w:numPr>
          <w:ilvl w:val="0"/>
          <w:numId w:val="1015"/>
        </w:numPr>
        <w:pStyle w:val="Compact"/>
      </w:pPr>
      <w:r>
        <w:t xml:space="preserve">Non-Recyclable Portion: 100% - 70% = 30%</w:t>
      </w:r>
    </w:p>
    <w:p>
      <w:pPr>
        <w:numPr>
          <w:ilvl w:val="0"/>
          <w:numId w:val="1015"/>
        </w:numPr>
        <w:pStyle w:val="Compact"/>
      </w:pPr>
      <w:r>
        <w:t xml:space="preserve">Total Material Weight (from BOM): ~0.66 kg (0.2 + 0.3 + 0.01 + 0.05 + 0.1)</w:t>
      </w:r>
    </w:p>
    <w:p>
      <w:pPr>
        <w:numPr>
          <w:ilvl w:val="0"/>
          <w:numId w:val="1015"/>
        </w:numPr>
        <w:pStyle w:val="Compact"/>
      </w:pPr>
      <w:r>
        <w:t xml:space="preserve">Assumed EoL Emission Factor for non-recycled waste: 1.0 kg CO2e/kg of material (illustrative)</w:t>
      </w:r>
    </w:p>
    <w:p>
      <w:pPr>
        <w:pStyle w:val="FirstParagraph"/>
      </w:pPr>
      <w:r>
        <w:rPr>
          <w:bCs/>
          <w:b/>
        </w:rPr>
        <w:t xml:space="preserve">Calculation:</w:t>
      </w:r>
    </w:p>
    <w:p>
      <w:pPr>
        <w:pStyle w:val="BodyText"/>
      </w:pPr>
      <w:r>
        <w:t xml:space="preserve">EoL Emissions (Scope 3) = Total Material Weight * Non-Recyclable Portion * EoL Emission Factor</w:t>
      </w:r>
      <w:r>
        <w:br/>
      </w:r>
      <w:r>
        <w:t xml:space="preserve">= 0.66 kg * 0.30 * 1.0 kg CO2e/kg</w:t>
      </w:r>
      <w:r>
        <w:br/>
      </w:r>
      <w:r>
        <w:t xml:space="preserve">=</w:t>
      </w:r>
      <w:r>
        <w:t xml:space="preserve"> </w:t>
      </w:r>
      <w:r>
        <w:rPr>
          <w:bCs/>
          <w:b/>
        </w:rPr>
        <w:t xml:space="preserve">0.198 kg CO2e/unit</w:t>
      </w:r>
    </w:p>
    <w:p>
      <w:pPr>
        <w:pStyle w:val="BodyText"/>
      </w:pPr>
      <w:r>
        <w:t xml:space="preserve">The presence of `Circular/Take-back Programs` (`yuhoztrqls`) is a critical factor in mitigating EoL impacts beyond just recyclability. These programs facilitate higher collection rates, proper sorting, and reintegration of materials into new production cycles, further reducing the overall lifecycle footprint.</w:t>
      </w:r>
    </w:p>
    <w:bookmarkEnd w:id="41"/>
    <w:bookmarkStart w:id="42"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1.53</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1.83</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0.064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0.198</w:t>
            </w:r>
          </w:p>
        </w:tc>
      </w:tr>
      <w:tr>
        <w:tc>
          <w:tcPr>
            <w:gridSpan w:val="2"/>
          </w:tcPr>
          <w:p>
            <w:pPr>
              <w:pStyle w:val="Compact"/>
              <w:jc w:val="right"/>
            </w:pPr>
            <w:r>
              <w:t xml:space="preserve">TOTAL PRODUCT CARBON FOOTPRINT:</w:t>
            </w:r>
          </w:p>
        </w:tc>
        <w:tc>
          <w:tcPr/>
          <w:p>
            <w:pPr>
              <w:pStyle w:val="Compact"/>
              <w:jc w:val="left"/>
            </w:pPr>
            <w:r>
              <w:rPr>
                <w:bCs/>
                <w:b/>
              </w:rPr>
              <w:t xml:space="preserve">13.622</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identification"/>
    <w:p>
      <w:pPr>
        <w:pStyle w:val="Heading3"/>
      </w:pPr>
      <w:r>
        <w:t xml:space="preserve">5.1. Emission Hotspots Identification</w:t>
      </w:r>
    </w:p>
    <w:p>
      <w:pPr>
        <w:pStyle w:val="FirstParagraph"/>
      </w:pPr>
      <w:r>
        <w:t xml:space="preserve">The primary emission hotspots for `nfqkzsjmln` are identified as:</w:t>
      </w:r>
    </w:p>
    <w:p>
      <w:pPr>
        <w:numPr>
          <w:ilvl w:val="0"/>
          <w:numId w:val="1016"/>
        </w:numPr>
        <w:pStyle w:val="Compact"/>
      </w:pPr>
      <w:r>
        <w:rPr>
          <w:bCs/>
          <w:b/>
        </w:rPr>
        <w:t xml:space="preserve">Use Phase (10.00 kg CO2e):</w:t>
      </w:r>
      <w:r>
        <w:t xml:space="preserve"> </w:t>
      </w:r>
      <w:r>
        <w:t xml:space="preserve">This is the most significant contributor to the product\'s carbon footprint, largely due to energy consumption over its assumed 5-year lifespan. This highlights the importance of improving product energy efficiency and promoting the use of renewable energy sources by end-users in Europe.</w:t>
      </w:r>
    </w:p>
    <w:p>
      <w:pPr>
        <w:numPr>
          <w:ilvl w:val="0"/>
          <w:numId w:val="1016"/>
        </w:numPr>
        <w:pStyle w:val="Compact"/>
      </w:pPr>
      <w:r>
        <w:rPr>
          <w:bCs/>
          <w:b/>
        </w:rPr>
        <w:t xml:space="preserve">Manufacturing/Production (1.83 kg CO2e):</w:t>
      </w:r>
      <w:r>
        <w:t xml:space="preserve"> </w:t>
      </w:r>
      <w:r>
        <w:t xml:space="preserve">Emissions from purchased electricity during manufacturing in China represent the second-largest hotspot. Increasing the share of renewable energy at the production facility or sourcing from a lower-carbon grid mix would significantly reduce this impact.</w:t>
      </w:r>
    </w:p>
    <w:p>
      <w:pPr>
        <w:numPr>
          <w:ilvl w:val="0"/>
          <w:numId w:val="1016"/>
        </w:numPr>
        <w:pStyle w:val="Compact"/>
      </w:pPr>
      <w:r>
        <w:rPr>
          <w:bCs/>
          <w:b/>
        </w:rPr>
        <w:t xml:space="preserve">Material Acquisition &amp; Pre-processing (1.53 kg CO2e):</w:t>
      </w:r>
      <w:r>
        <w:t xml:space="preserve"> </w:t>
      </w:r>
      <w:r>
        <w:t xml:space="preserve">The choice of raw materials and their associated production processes contribute substantially. Shifting towards materials with lower embodied carbon (e.g., higher recycled content, less energy-intensive processes) offers significant reduction potential.</w:t>
      </w:r>
    </w:p>
    <w:bookmarkEnd w:id="44"/>
    <w:bookmarkStart w:id="45" w:name="reliability-and-data-quality"/>
    <w:p>
      <w:pPr>
        <w:pStyle w:val="Heading3"/>
      </w:pPr>
      <w:r>
        <w:t xml:space="preserve">5.2. Reliability and Data Quality</w:t>
      </w:r>
    </w:p>
    <w:p>
      <w:pPr>
        <w:pStyle w:val="FirstParagraph"/>
      </w:pPr>
      <w:r>
        <w:t xml:space="preserve">The reliability of this PCF analysis is strengthened by the use of specific primary data for key parameters such as the Bill of Materials, energy intensity, and product lifespan. Secondary data, including emission factors, are sourced from recognized industry databases (e.g., Ecoinvent, DEFRA) to ensure consistency and comparability.</w:t>
      </w:r>
    </w:p>
    <w:p>
      <w:pPr>
        <w:pStyle w:val="BodyText"/>
      </w:pPr>
      <w:r>
        <w:t xml:space="preserve">Adherence to the GHG Protocol\'s 2026 Scope 3 reporting requirements, including the proposed 95% coverage threshold, enhances the completeness and transparency of this assessment. The application of the Land Sector and Removals (LSR) Standard ensures comprehensive accounting for land-related emissions and removals, particularly relevant for products with bio-based materials or processes.</w:t>
      </w:r>
    </w:p>
    <w:p>
      <w:pPr>
        <w:pStyle w:val="BodyText"/>
      </w:pPr>
      <w:r>
        <w:t xml:space="preserve">Further improvements in data quality could be achieved through direct engagement with specific upstream suppliers for primary material and transport data, and more granular data on the regional electricity mix for manufacturing and use in Europe and China.</w:t>
      </w:r>
    </w:p>
    <w:bookmarkEnd w:id="45"/>
    <w:bookmarkStart w:id="46" w:name="recommendations-for-emissions-reduction"/>
    <w:p>
      <w:pPr>
        <w:pStyle w:val="Heading3"/>
      </w:pPr>
      <w:r>
        <w:t xml:space="preserve">5.3. Recommendations for Emissions Reduction</w:t>
      </w:r>
    </w:p>
    <w:p>
      <w:pPr>
        <w:numPr>
          <w:ilvl w:val="0"/>
          <w:numId w:val="1017"/>
        </w:numPr>
        <w:pStyle w:val="Compact"/>
      </w:pPr>
      <w:r>
        <w:rPr>
          <w:bCs/>
          <w:b/>
        </w:rPr>
        <w:t xml:space="preserve">Optimize Use Phase Efficiency:</w:t>
      </w:r>
      <w:r>
        <w:t xml:space="preserve"> </w:t>
      </w:r>
      <w:r>
        <w:t xml:space="preserve">Focus on product design for enhanced energy efficiency during operation (e.g., lower power consumption components, efficient power management). Educate consumers on responsible energy use and benefits of renewable energy.</w:t>
      </w:r>
    </w:p>
    <w:p>
      <w:pPr>
        <w:numPr>
          <w:ilvl w:val="0"/>
          <w:numId w:val="1017"/>
        </w:numPr>
        <w:pStyle w:val="Compact"/>
      </w:pPr>
      <w:r>
        <w:rPr>
          <w:bCs/>
          <w:b/>
        </w:rPr>
        <w:t xml:space="preserve">Decarbonize Manufacturing:</w:t>
      </w:r>
      <w:r>
        <w:t xml:space="preserve"> </w:t>
      </w:r>
      <w:r>
        <w:t xml:space="preserve">Increase renewable energy procurement at the China manufacturing facility (e.g., on-site renewables, renewable energy certificates) and explore opportunities to shift production to regions with lower carbon electricity grids.</w:t>
      </w:r>
    </w:p>
    <w:p>
      <w:pPr>
        <w:numPr>
          <w:ilvl w:val="0"/>
          <w:numId w:val="1017"/>
        </w:numPr>
        <w:pStyle w:val="Compact"/>
      </w:pPr>
      <w:r>
        <w:rPr>
          <w:bCs/>
          <w:b/>
        </w:rPr>
        <w:t xml:space="preserve">Sustainable Material Sourcing:</w:t>
      </w:r>
      <w:r>
        <w:t xml:space="preserve"> </w:t>
      </w:r>
      <w:r>
        <w:t xml:space="preserve">Prioritize materials with demonstrably lower embodied carbon, increased recycled content, and explore innovative, low-impact alternatives as detailed in the Bill of Materials.</w:t>
      </w:r>
    </w:p>
    <w:p>
      <w:pPr>
        <w:numPr>
          <w:ilvl w:val="0"/>
          <w:numId w:val="1017"/>
        </w:numPr>
        <w:pStyle w:val="Compact"/>
      </w:pPr>
      <w:r>
        <w:rPr>
          <w:bCs/>
          <w:b/>
        </w:rPr>
        <w:t xml:space="preserve">Enhance Circularity:</w:t>
      </w:r>
      <w:r>
        <w:t xml:space="preserve"> </w:t>
      </w:r>
      <w:r>
        <w:t xml:space="preserve">Leverage existing `yuhoztrqls` (circular/take-back programs) and explore new initiatives to maximize product longevity, repairability, and high-quality recycling pathways for the `pnirjwhkdz` (70%) recyclable content.</w:t>
      </w:r>
    </w:p>
    <w:p>
      <w:pPr>
        <w:numPr>
          <w:ilvl w:val="0"/>
          <w:numId w:val="1017"/>
        </w:numPr>
        <w:pStyle w:val="Compact"/>
      </w:pPr>
      <w:r>
        <w:rPr>
          <w:bCs/>
          <w:b/>
        </w:rPr>
        <w:t xml:space="preserve">Logistics Optimization:</w:t>
      </w:r>
      <w:r>
        <w:t xml:space="preserve"> </w:t>
      </w:r>
      <w:r>
        <w:t xml:space="preserve">Investigate opportunities for more efficient transport modes (e.g., rail, sea where feasible), optimize routes, and consolidate shipments to reduce transport-related emissions.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nfqkzsjmln</dc:title>
  <dc:creator/>
  <dc:description>High-detail Product Carbon Footprint (PCF) analysis report for nfqkzsjmln by Senior Sustainability Consultant mvvdfxxvfj, adhering to GHG Protocol standards and 2026 LSR Update requirements.</dc:description>
  <dc:language>en</dc:language>
  <cp:keywords/>
  <dcterms:created xsi:type="dcterms:W3CDTF">2026-07-15T18:38:30Z</dcterms:created>
  <dcterms:modified xsi:type="dcterms:W3CDTF">2026-07-15T18:38:30Z</dcterms:modified>
</cp:coreProperties>
</file>

<file path=docProps/custom.xml><?xml version="1.0" encoding="utf-8"?>
<Properties xmlns="http://schemas.openxmlformats.org/officeDocument/2006/custom-properties" xmlns:vt="http://schemas.openxmlformats.org/officeDocument/2006/docPropsVTypes"/>
</file>