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nemhnypkle</w:t>
      </w:r>
      <w:r>
        <w:t xml:space="preserve"> </w:t>
      </w:r>
      <w:r>
        <w:t xml:space="preserve">-</w:t>
      </w:r>
      <w:r>
        <w:t xml:space="preserve"> </w:t>
      </w:r>
      <w:r>
        <w:t xml:space="preserve">tpxzjnprjt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nemhnypkle</w:t>
      </w:r>
    </w:p>
    <w:p>
      <w:pPr>
        <w:pStyle w:val="BodyText"/>
      </w:pPr>
      <w:r>
        <w:rPr>
          <w:bCs/>
          <w:b/>
        </w:rPr>
        <w:t xml:space="preserve">Company:</w:t>
      </w:r>
      <w:r>
        <w:t xml:space="preserve"> </w:t>
      </w:r>
      <w:r>
        <w:t xml:space="preserve">tpxzjnprjt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jnfztzdqti</w:t>
      </w:r>
    </w:p>
    <w:p>
      <w:pPr>
        <w:pStyle w:val="BodyText"/>
      </w:pPr>
      <w:r>
        <w:t xml:space="preserve">Disclaimer: This report is generated based on available data and industry standards. While efforts have been made to ensure accuracy and completeness based on the provided parameters, it relies on assumptions for placeholder data and generic emission factors where primary data was not available. This report serves as a high-level assessment and should be complemented by more detailed, primary data collection for definitive conclusions.</w:t>
      </w:r>
    </w:p>
    <w:bookmarkEnd w:id="20"/>
    <w:bookmarkStart w:id="46" w:name="X62af53e9064768bf16c9ef8c8f99ade1d295824"/>
    <w:p>
      <w:pPr>
        <w:pStyle w:val="Heading1"/>
      </w:pPr>
      <w:r>
        <w:t xml:space="preserve">Product Carbon Footprint Analysis Report: nemhnypkle</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nemhnypkle, manufactured by tpxzjnprjt. The analysis was conducted by jnfztzdqti, Senior Sustainability Consultant, adhering strictly to the GHG Protocol accounting standard, including anticipated updates for 2026 related to the Land Sector and Removals (LSR) Standard and enhanced Scope 3 coverage. The primary objective is to quantify the greenhouse gas emissions across nemhnypkle\'s lifecycle, identify emission hotspots, and provide insights for decarbonization efforts. The assessment covers raw material acquisition, manufacturing, transportation, use phase, and end-of-life scenarios, providing a comprehensive understanding of the product\'s environmental impact.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calculating the Product Carbon Footprint (PCF) for nemhnypkle involves clearly defining the parameters that establish the boundaries and focus of this analysis.</w:t>
      </w:r>
    </w:p>
    <w:p>
      <w:pPr>
        <w:numPr>
          <w:ilvl w:val="0"/>
          <w:numId w:val="1001"/>
        </w:numPr>
        <w:pStyle w:val="Compact"/>
      </w:pPr>
      <w:r>
        <w:rPr>
          <w:bCs/>
          <w:b/>
        </w:rPr>
        <w:t xml:space="preserve">Functional Unit:</w:t>
      </w:r>
      <w:r>
        <w:t xml:space="preserve"> </w:t>
      </w:r>
      <w:r>
        <w:t xml:space="preserve">The functional unit for this PCF study is defined as</w:t>
      </w:r>
      <w:r>
        <w:t xml:space="preserve"> </w:t>
      </w:r>
      <w:r>
        <w:rPr>
          <w:bCs/>
          <w:b/>
        </w:rPr>
        <w:t xml:space="preserve">1.0 unit of nemhnypkle</w:t>
      </w:r>
      <w:r>
        <w:t xml:space="preserve">. This unit serves as the reference basis for all quantified inputs and outputs throughout the product\'s lifecycle.</w:t>
      </w:r>
    </w:p>
    <w:p>
      <w:pPr>
        <w:numPr>
          <w:ilvl w:val="0"/>
          <w:numId w:val="1001"/>
        </w:numPr>
        <w:pStyle w:val="Compact"/>
      </w:pPr>
      <w:r>
        <w:rPr>
          <w:bCs/>
          <w:b/>
        </w:rPr>
        <w:t xml:space="preserve">System Boundary:</w:t>
      </w:r>
      <w:r>
        <w:t xml:space="preserve"> </w:t>
      </w:r>
      <w:r>
        <w:t xml:space="preserve">The system boundary for this analysis follows a "cradle-to-grave" approach, encompassing all stages from raw material extraction ("cradle") through manufacturing at the factory gate, distribution to the customer, the product\'s use phase, and its eventual end-of-life ("grave"). While the prompt specified "factory_gate" as a core boundary, the inclusion of "Transport Mode," "Transport Distance," "Last-Mile Delivery Channel," "Product Lifespan," "Energy Consumption in Use," "Recyclability Percentage," and "Circular/Take-back Programs" necessitates a full lifecycle assessment to provide a holistic view as requested by the detailed parameters.</w:t>
      </w:r>
    </w:p>
    <w:p>
      <w:pPr>
        <w:numPr>
          <w:ilvl w:val="0"/>
          <w:numId w:val="1001"/>
        </w:numPr>
        <w:pStyle w:val="Compact"/>
      </w:pPr>
      <w:r>
        <w:rPr>
          <w:bCs/>
          <w:b/>
        </w:rPr>
        <w:t xml:space="preserve">Geographic Scope:</w:t>
      </w:r>
      <w:r>
        <w:t xml:space="preserve"> </w:t>
      </w:r>
      <w:r>
        <w:t xml:space="preserve">The final production of nemhnypkle occurs in</w:t>
      </w:r>
      <w:r>
        <w:t xml:space="preserve"> </w:t>
      </w:r>
      <w:r>
        <w:rPr>
          <w:bCs/>
          <w:b/>
        </w:rPr>
        <w:t xml:space="preserve">China</w:t>
      </w:r>
      <w:r>
        <w:t xml:space="preserve">. The supply chain, however, has a primary focus on</w:t>
      </w:r>
      <w:r>
        <w:t xml:space="preserve"> </w:t>
      </w:r>
      <w:r>
        <w:rPr>
          <w:bCs/>
          <w:b/>
        </w:rPr>
        <w:t xml:space="preserve">Europe</w:t>
      </w:r>
      <w:r>
        <w:t xml:space="preserve"> </w:t>
      </w:r>
      <w:r>
        <w:t xml:space="preserve">for upstream material acquisition and transportation.</w:t>
      </w:r>
    </w:p>
    <w:p>
      <w:pPr>
        <w:numPr>
          <w:ilvl w:val="0"/>
          <w:numId w:val="1001"/>
        </w:numPr>
        <w:pStyle w:val="Compact"/>
      </w:pPr>
      <w:r>
        <w:rPr>
          <w:bCs/>
          <w:b/>
        </w:rPr>
        <w:t xml:space="preserve">Accounting Standard:</w:t>
      </w:r>
      <w:r>
        <w:t xml:space="preserve"> </w:t>
      </w:r>
      <w:r>
        <w:t xml:space="preserve">This PCF analysis is conducted in strict accordance with the</w:t>
      </w:r>
      <w:r>
        <w:t xml:space="preserve"> </w:t>
      </w:r>
      <w:r>
        <w:rPr>
          <w:bCs/>
          <w:b/>
        </w:rPr>
        <w:t xml:space="preserve">GHG Protocol</w:t>
      </w:r>
      <w:r>
        <w:t xml:space="preserve">. This includes the application of the forthcoming</w:t>
      </w:r>
      <w:r>
        <w:t xml:space="preserve"> </w:t>
      </w:r>
      <w:r>
        <w:rPr>
          <w:bCs/>
          <w:b/>
        </w:rPr>
        <w:t xml:space="preserve">2026 Land Sector and Removals (LSR) Standard</w:t>
      </w:r>
      <w:r>
        <w:t xml:space="preserve"> </w:t>
      </w:r>
      <w:r>
        <w:t xml:space="preserve">for land use and carbon removals, where applicable and data allows, and ensuring at least</w:t>
      </w:r>
      <w:r>
        <w:t xml:space="preserve"> </w:t>
      </w:r>
      <w:r>
        <w:rPr>
          <w:bCs/>
          <w:b/>
        </w:rPr>
        <w:t xml:space="preserve">95% coverage for Scope 3 reporting</w:t>
      </w:r>
      <w:r>
        <w:t xml:space="preserve">, aligning with anticipated 2026 requirements for completeness and data disaggregation.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For any shared processes or co-products, a mass-based allocation approach is assumed, ensuring that environmental burdens are proportionally distributed based on the mass contribution of nemhnypkle.</w:t>
      </w:r>
    </w:p>
    <w:p>
      <w:r>
        <w:pict>
          <v:rect style="width:0;height:1.5pt" o:hralign="center" o:hrstd="t" o:hr="t"/>
        </w:pict>
      </w:r>
    </w:p>
    <w:bookmarkEnd w:id="22"/>
    <w:bookmarkStart w:id="23" w:name="Xf6590ae06e9eff1c8ceb678e24ded0b628f7713"/>
    <w:p>
      <w:pPr>
        <w:pStyle w:val="Heading2"/>
      </w:pPr>
      <w:r>
        <w:t xml:space="preserve">2. Map Lifecycle (Life Cycle Inventory Stages)</w:t>
      </w:r>
    </w:p>
    <w:p>
      <w:pPr>
        <w:pStyle w:val="FirstParagraph"/>
      </w:pPr>
      <w:r>
        <w:t xml:space="preserve">The lifecycle of nemhnypkle is mapped into several distinct stages, each contributing to the product\'s overall carbon footprint. This mapping ensures a comprehensive capture of emissions from raw material to end-of-life.</w:t>
      </w:r>
    </w:p>
    <w:p>
      <w:pPr>
        <w:numPr>
          <w:ilvl w:val="0"/>
          <w:numId w:val="1002"/>
        </w:numPr>
        <w:pStyle w:val="Compact"/>
      </w:pPr>
      <w:r>
        <w:rPr>
          <w:bCs/>
          <w:b/>
        </w:rPr>
        <w:t xml:space="preserve">Raw Material Acquisition &amp; Pre-processing (Upstream - Scope 3, Category 1):</w:t>
      </w:r>
      <w:r>
        <w:t xml:space="preserve"> </w:t>
      </w:r>
      <w:r>
        <w:t xml:space="preserve">This stage includes the extraction, processing, and manufacturing of all primary materials listed in the Bill of Materials (BOM). Given the "Europe Focused" supply chain, initial processing is assumed to largely occur within Europe before transportation to the final production country.</w:t>
      </w:r>
    </w:p>
    <w:p>
      <w:pPr>
        <w:numPr>
          <w:ilvl w:val="0"/>
          <w:numId w:val="1002"/>
        </w:numPr>
        <w:pStyle w:val="Compact"/>
      </w:pPr>
      <w:r>
        <w:rPr>
          <w:bCs/>
          <w:b/>
        </w:rPr>
        <w:t xml:space="preserve">Manufacturing &amp; Production (Core - Scope 1 &amp; 2, partial Scope 3):</w:t>
      </w:r>
      <w:r>
        <w:t xml:space="preserve"> </w:t>
      </w:r>
      <w:r>
        <w:t xml:space="preserve">Covers the actual assembly and fabrication of nemhnypkle in China. This includes energy consumption (electricity and heat), facility operations, and direct emissions from owned or controlled sources.</w:t>
      </w:r>
    </w:p>
    <w:p>
      <w:pPr>
        <w:numPr>
          <w:ilvl w:val="0"/>
          <w:numId w:val="1002"/>
        </w:numPr>
        <w:pStyle w:val="Compact"/>
      </w:pPr>
      <w:r>
        <w:rPr>
          <w:bCs/>
          <w:b/>
        </w:rPr>
        <w:t xml:space="preserve">Transportation &amp; Distribution (Upstream &amp; Downstream - Scope 3, Category 4 &amp; 9):</w:t>
      </w:r>
    </w:p>
    <w:p>
      <w:pPr>
        <w:numPr>
          <w:ilvl w:val="1"/>
          <w:numId w:val="1003"/>
        </w:numPr>
        <w:pStyle w:val="Compact"/>
      </w:pPr>
      <w:r>
        <w:rPr>
          <w:bCs/>
          <w:b/>
        </w:rPr>
        <w:t xml:space="preserve">Upstream Logistics:</w:t>
      </w:r>
      <w:r>
        <w:t xml:space="preserve"> </w:t>
      </w:r>
      <w:r>
        <w:t xml:space="preserve">Transport of raw and semi-finished materials from European suppliers to the manufacturing facility in China.</w:t>
      </w:r>
    </w:p>
    <w:p>
      <w:pPr>
        <w:numPr>
          <w:ilvl w:val="1"/>
          <w:numId w:val="1003"/>
        </w:numPr>
        <w:pStyle w:val="Compact"/>
      </w:pPr>
      <w:r>
        <w:rPr>
          <w:bCs/>
          <w:b/>
        </w:rPr>
        <w:t xml:space="preserve">Downstream Logistics:</w:t>
      </w:r>
      <w:r>
        <w:t xml:space="preserve"> </w:t>
      </w:r>
      <w:r>
        <w:t xml:space="preserve">Transport of the finished product from the manufacturing facility in China to the consumer, including last-mile delivery.</w:t>
      </w:r>
    </w:p>
    <w:p>
      <w:pPr>
        <w:numPr>
          <w:ilvl w:val="0"/>
          <w:numId w:val="1002"/>
        </w:numPr>
        <w:pStyle w:val="Compact"/>
      </w:pPr>
      <w:r>
        <w:rPr>
          <w:bCs/>
          <w:b/>
        </w:rPr>
        <w:t xml:space="preserve">Use Phase (Scope 3, Category 11):</w:t>
      </w:r>
      <w:r>
        <w:t xml:space="preserve"> </w:t>
      </w:r>
      <w:r>
        <w:t xml:space="preserve">Accounts for the energy consumption and any other emissions associated with the product during its lifespan as used by the consumer.</w:t>
      </w:r>
    </w:p>
    <w:p>
      <w:pPr>
        <w:numPr>
          <w:ilvl w:val="0"/>
          <w:numId w:val="1002"/>
        </w:numPr>
        <w:pStyle w:val="Compact"/>
      </w:pPr>
      <w:r>
        <w:rPr>
          <w:bCs/>
          <w:b/>
        </w:rPr>
        <w:t xml:space="preserve">End-of-Life (EoL) Treatment (Scope 3, Category 12):</w:t>
      </w:r>
      <w:r>
        <w:t xml:space="preserve"> </w:t>
      </w:r>
      <w:r>
        <w:t xml:space="preserve">Addresses the emissions and potential credits associated with the disposal, recycling, or recovery of nemhnypkle at the end of its useful life.</w:t>
      </w:r>
    </w:p>
    <w:p>
      <w:r>
        <w:pict>
          <v:rect style="width:0;height:1.5pt" o:hralign="center" o:hrstd="t" o:hr="t"/>
        </w:pict>
      </w:r>
    </w:p>
    <w:bookmarkEnd w:id="23"/>
    <w:bookmarkStart w:id="29" w:name="Xb57f50a89bf1f3f1837369be949d9d60d6c1272"/>
    <w:p>
      <w:pPr>
        <w:pStyle w:val="Heading2"/>
      </w:pPr>
      <w:r>
        <w:t xml:space="preserve">3. Collect Data (Primary/Secondary Data Points)</w:t>
      </w:r>
    </w:p>
    <w:p>
      <w:pPr>
        <w:pStyle w:val="FirstParagraph"/>
      </w:pPr>
      <w:r>
        <w:t xml:space="preserve">Data collection forms the backbone of an accurate PCF analysis. For this report, a blend of specific parameter data, illustrative values for placeholders, and industry-standard emission factors are used.</w:t>
      </w:r>
    </w:p>
    <w:bookmarkStart w:id="24" w:name="detailed-bill-of-materials-bom-ppyzpzsd"/>
    <w:p>
      <w:pPr>
        <w:pStyle w:val="Heading3"/>
      </w:pPr>
      <w:r>
        <w:t xml:space="preserve">3.1. Detailed Bill of Materials (BOM): ppyzpzsd</w:t>
      </w:r>
    </w:p>
    <w:p>
      <w:pPr>
        <w:pStyle w:val="FirstParagraph"/>
      </w:pPr>
      <w:r>
        <w:t xml:space="preserve">The following detailed Bill of Materials (BOM) for nemhnypkle is used to calculate material impacts. Emission factors are representative industry averages (e.g., from Ecoinvent/DEFRA) for primary production, and "Total Carbon" reflects the CO2e emissions for that specific material quantity. For the purpose of this report, specific illustrative values for `ppyzpzsd` are generated based on the format requested. Emissions for materials like aluminum, steel, and plastics are significant globally, with aluminum production contributing around 2% of global GHG emissions, steel around 7-11%, and plastics around 3.4% of global GHG emissions across their lifecycle.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(China)</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Primary Production (Europe)</w:t>
            </w:r>
          </w:p>
        </w:tc>
        <w:tc>
          <w:tcPr/>
          <w:p>
            <w:pPr>
              <w:pStyle w:val="Compact"/>
              <w:jc w:val="left"/>
            </w:pPr>
            <w:r>
              <w:t xml:space="preserve">0.05</w:t>
            </w:r>
          </w:p>
        </w:tc>
        <w:tc>
          <w:tcPr/>
          <w:p>
            <w:pPr>
              <w:pStyle w:val="Compact"/>
              <w:jc w:val="left"/>
            </w:pPr>
            <w:r>
              <w:t xml:space="preserve">kg</w:t>
            </w:r>
          </w:p>
        </w:tc>
        <w:tc>
          <w:tcPr/>
          <w:p>
            <w:pPr>
              <w:pStyle w:val="Compact"/>
              <w:jc w:val="left"/>
            </w:pPr>
            <w:r>
              <w:t xml:space="preserve">2.2</w:t>
            </w:r>
          </w:p>
        </w:tc>
        <w:tc>
          <w:tcPr/>
          <w:p>
            <w:pPr>
              <w:pStyle w:val="Compact"/>
              <w:jc w:val="left"/>
            </w:pPr>
            <w:r>
              <w:t xml:space="preserve">0.11</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Semiconductor</w:t>
            </w:r>
          </w:p>
        </w:tc>
        <w:tc>
          <w:tcPr/>
          <w:p>
            <w:pPr>
              <w:pStyle w:val="Compact"/>
              <w:jc w:val="left"/>
            </w:pPr>
            <w:r>
              <w:t xml:space="preserve">Wafer Fabrication (China)</w:t>
            </w:r>
          </w:p>
        </w:tc>
        <w:tc>
          <w:tcPr/>
          <w:p>
            <w:pPr>
              <w:pStyle w:val="Compact"/>
              <w:jc w:val="left"/>
            </w:pPr>
            <w:r>
              <w:t xml:space="preserve">0.01</w:t>
            </w:r>
          </w:p>
        </w:tc>
        <w:tc>
          <w:tcPr/>
          <w:p>
            <w:pPr>
              <w:pStyle w:val="Compact"/>
              <w:jc w:val="left"/>
            </w:pPr>
            <w:r>
              <w:t xml:space="preserve">kg</w:t>
            </w:r>
          </w:p>
        </w:tc>
        <w:tc>
          <w:tcPr/>
          <w:p>
            <w:pPr>
              <w:pStyle w:val="Compact"/>
              <w:jc w:val="left"/>
            </w:pPr>
            <w:r>
              <w:t xml:space="preserve">60.0</w:t>
            </w:r>
          </w:p>
        </w:tc>
        <w:tc>
          <w:tcPr/>
          <w:p>
            <w:pPr>
              <w:pStyle w:val="Compact"/>
              <w:jc w:val="left"/>
            </w:pPr>
            <w:r>
              <w:t xml:space="preserve">0.6</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 (Europe)</w:t>
            </w:r>
          </w:p>
        </w:tc>
        <w:tc>
          <w:tcPr/>
          <w:p>
            <w:pPr>
              <w:pStyle w:val="Compact"/>
              <w:jc w:val="left"/>
            </w:pPr>
            <w:r>
              <w:t xml:space="preserve">0.02</w:t>
            </w:r>
          </w:p>
        </w:tc>
        <w:tc>
          <w:tcPr/>
          <w:p>
            <w:pPr>
              <w:pStyle w:val="Compact"/>
              <w:jc w:val="left"/>
            </w:pPr>
            <w:r>
              <w:t xml:space="preserve">kg</w:t>
            </w:r>
          </w:p>
        </w:tc>
        <w:tc>
          <w:tcPr/>
          <w:p>
            <w:pPr>
              <w:pStyle w:val="Compact"/>
              <w:jc w:val="left"/>
            </w:pPr>
            <w:r>
              <w:t xml:space="preserve">2.8</w:t>
            </w:r>
          </w:p>
        </w:tc>
        <w:tc>
          <w:tcPr/>
          <w:p>
            <w:pPr>
              <w:pStyle w:val="Compact"/>
              <w:jc w:val="left"/>
            </w:pPr>
            <w:r>
              <w:t xml:space="preserve">0.056</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Production (China)</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p>
            <w:pPr>
              <w:pStyle w:val="Compact"/>
              <w:jc w:val="left"/>
            </w:pPr>
            <w:r>
              <w:t xml:space="preserve">M007</w:t>
            </w:r>
          </w:p>
        </w:tc>
        <w:tc>
          <w:tcPr/>
          <w:p>
            <w:pPr>
              <w:pStyle w:val="Compact"/>
              <w:jc w:val="left"/>
            </w:pPr>
            <w:r>
              <w:t xml:space="preserve">Adhesives/Coatings</w:t>
            </w:r>
          </w:p>
        </w:tc>
        <w:tc>
          <w:tcPr/>
          <w:p>
            <w:pPr>
              <w:pStyle w:val="Compact"/>
              <w:jc w:val="left"/>
            </w:pPr>
            <w:r>
              <w:t xml:space="preserve">Chemical</w:t>
            </w:r>
          </w:p>
        </w:tc>
        <w:tc>
          <w:tcPr/>
          <w:p>
            <w:pPr>
              <w:pStyle w:val="Compact"/>
              <w:jc w:val="left"/>
            </w:pPr>
            <w:r>
              <w:t xml:space="preserve">Synthesis (Europe)</w:t>
            </w:r>
          </w:p>
        </w:tc>
        <w:tc>
          <w:tcPr/>
          <w:p>
            <w:pPr>
              <w:pStyle w:val="Compact"/>
              <w:jc w:val="left"/>
            </w:pPr>
            <w:r>
              <w:t xml:space="preserve">0.01</w:t>
            </w:r>
          </w:p>
        </w:tc>
        <w:tc>
          <w:tcPr/>
          <w:p>
            <w:pPr>
              <w:pStyle w:val="Compact"/>
              <w:jc w:val="left"/>
            </w:pPr>
            <w:r>
              <w:t xml:space="preserve">kg</w:t>
            </w:r>
          </w:p>
        </w:tc>
        <w:tc>
          <w:tcPr/>
          <w:p>
            <w:pPr>
              <w:pStyle w:val="Compact"/>
              <w:jc w:val="left"/>
            </w:pPr>
            <w:r>
              <w:t xml:space="preserve">7.0</w:t>
            </w:r>
          </w:p>
        </w:tc>
        <w:tc>
          <w:tcPr/>
          <w:p>
            <w:pPr>
              <w:pStyle w:val="Compact"/>
              <w:jc w:val="left"/>
            </w:pPr>
            <w:r>
              <w:t xml:space="preserve">0.07</w:t>
            </w:r>
          </w:p>
        </w:tc>
      </w:tr>
    </w:tbl>
    <w:p>
      <w:pPr>
        <w:pStyle w:val="BodyText"/>
      </w:pPr>
      <w:r>
        <w:rPr>
          <w:iCs/>
          <w:i/>
        </w:rPr>
        <w:t xml:space="preserve">Note: Emission factors for primary aluminum produced in China can be significantly higher due to reliance on coal-fired electricity. Silicon production is also energy-intensive, with emissions varying significantly based on the energy mix.</w:t>
      </w:r>
    </w:p>
    <w:bookmarkEnd w:id="24"/>
    <w:bookmarkStart w:id="25" w:name="Xf018761ec5c387a04adae8eea50382488e62a40"/>
    <w:p>
      <w:pPr>
        <w:pStyle w:val="Heading3"/>
      </w:pPr>
      <w:r>
        <w:t xml:space="preserve">3.2. Production Energy Data (Manufacturing in China)</w:t>
      </w:r>
    </w:p>
    <w:p>
      <w:pPr>
        <w:numPr>
          <w:ilvl w:val="0"/>
          <w:numId w:val="1004"/>
        </w:numPr>
        <w:pStyle w:val="Compact"/>
      </w:pPr>
      <w:r>
        <w:rPr>
          <w:bCs/>
          <w:b/>
        </w:rPr>
        <w:t xml:space="preserve">Renewable Energy Usage:</w:t>
      </w:r>
      <w:r>
        <w:t xml:space="preserve"> </w:t>
      </w:r>
      <w:r>
        <w:t xml:space="preserve">vintovunnd (Placeholder - assumed 30% renewable electricity mix for calculation)</w:t>
      </w:r>
    </w:p>
    <w:p>
      <w:pPr>
        <w:numPr>
          <w:ilvl w:val="0"/>
          <w:numId w:val="1004"/>
        </w:numPr>
        <w:pStyle w:val="Compact"/>
      </w:pPr>
      <w:r>
        <w:rPr>
          <w:bCs/>
          <w:b/>
        </w:rPr>
        <w:t xml:space="preserve">Energy Intensity (kWh/unit):</w:t>
      </w:r>
      <w:r>
        <w:t xml:space="preserve"> </w:t>
      </w:r>
      <w:r>
        <w:t xml:space="preserve">nyjjusyfow (Placeholder - assumed 2.5 kWh/unit for calculation)</w:t>
      </w:r>
    </w:p>
    <w:p>
      <w:pPr>
        <w:numPr>
          <w:ilvl w:val="0"/>
          <w:numId w:val="1004"/>
        </w:numPr>
        <w:pStyle w:val="Compact"/>
      </w:pPr>
      <w:r>
        <w:rPr>
          <w:bCs/>
          <w:b/>
        </w:rPr>
        <w:t xml:space="preserve">Assumed Grid Emission Factor (China):</w:t>
      </w:r>
      <w:r>
        <w:t xml:space="preserve"> </w:t>
      </w:r>
      <w:r>
        <w:t xml:space="preserve">0.6 kg CO2e/kWh (Illustrative value for non-renewable electricity)</w:t>
      </w:r>
    </w:p>
    <w:bookmarkEnd w:id="25"/>
    <w:bookmarkStart w:id="26" w:name="logistics-data"/>
    <w:p>
      <w:pPr>
        <w:pStyle w:val="Heading3"/>
      </w:pPr>
      <w:r>
        <w:t xml:space="preserve">3.3. Logistics Data</w:t>
      </w:r>
    </w:p>
    <w:p>
      <w:pPr>
        <w:numPr>
          <w:ilvl w:val="0"/>
          <w:numId w:val="1005"/>
        </w:numPr>
        <w:pStyle w:val="Compact"/>
      </w:pPr>
      <w:r>
        <w:rPr>
          <w:bCs/>
          <w:b/>
        </w:rPr>
        <w:t xml:space="preserve">Transport Mode (Upstream):</w:t>
      </w:r>
      <w:r>
        <w:t xml:space="preserve"> </w:t>
      </w:r>
      <w:r>
        <w:t xml:space="preserve">Select Mode (Placeholder - assumed Container Ship for long-haul, Freight Truck for short-haul within Europe)</w:t>
      </w:r>
    </w:p>
    <w:p>
      <w:pPr>
        <w:numPr>
          <w:ilvl w:val="0"/>
          <w:numId w:val="1005"/>
        </w:numPr>
        <w:pStyle w:val="Compact"/>
      </w:pPr>
      <w:r>
        <w:rPr>
          <w:bCs/>
          <w:b/>
        </w:rPr>
        <w:t xml:space="preserve">Transport Distance (Upstream):</w:t>
      </w:r>
      <w:r>
        <w:t xml:space="preserve"> </w:t>
      </w:r>
      <w:r>
        <w:t xml:space="preserve">wrupplvxyo (Placeholder - assumed 10,000 km by ship, 500 km by truck)</w:t>
      </w:r>
    </w:p>
    <w:p>
      <w:pPr>
        <w:numPr>
          <w:ilvl w:val="0"/>
          <w:numId w:val="1005"/>
        </w:numPr>
        <w:pStyle w:val="Compact"/>
      </w:pPr>
      <w:r>
        <w:rPr>
          <w:bCs/>
          <w:b/>
        </w:rPr>
        <w:t xml:space="preserve">Transport Mode (Downstream):</w:t>
      </w:r>
      <w:r>
        <w:t xml:space="preserve"> </w:t>
      </w:r>
      <w:r>
        <w:t xml:space="preserve">Select Mode (Placeholder - assumed Container Ship from China to Europe, Freight Truck for regional distribution)</w:t>
      </w:r>
    </w:p>
    <w:p>
      <w:pPr>
        <w:numPr>
          <w:ilvl w:val="0"/>
          <w:numId w:val="1005"/>
        </w:numPr>
        <w:pStyle w:val="Compact"/>
      </w:pPr>
      <w:r>
        <w:rPr>
          <w:bCs/>
          <w:b/>
        </w:rPr>
        <w:t xml:space="preserve">Transport Distance (Downstream):</w:t>
      </w:r>
      <w:r>
        <w:t xml:space="preserve"> </w:t>
      </w:r>
      <w:r>
        <w:t xml:space="preserve">wrupplvxyo (Placeholder - assumed 12,000 km by ship, 200 km by truck)</w:t>
      </w:r>
    </w:p>
    <w:p>
      <w:pPr>
        <w:numPr>
          <w:ilvl w:val="0"/>
          <w:numId w:val="1005"/>
        </w:numPr>
        <w:pStyle w:val="Compact"/>
      </w:pPr>
      <w:r>
        <w:rPr>
          <w:bCs/>
          <w:b/>
        </w:rPr>
        <w:t xml:space="preserve">Last-Mile Delivery Channel:</w:t>
      </w:r>
      <w:r>
        <w:t xml:space="preserve"> </w:t>
      </w:r>
      <w:r>
        <w:t xml:space="preserve">Delivery Type (Placeholder - assumed Light Commercial Vehicle for 50 km)</w:t>
      </w:r>
    </w:p>
    <w:p>
      <w:pPr>
        <w:numPr>
          <w:ilvl w:val="0"/>
          <w:numId w:val="1005"/>
        </w:numPr>
        <w:pStyle w:val="Compact"/>
      </w:pPr>
      <w:r>
        <w:rPr>
          <w:bCs/>
          <w:b/>
        </w:rPr>
        <w:t xml:space="preserve">Assumed Emission Factors for Transport (kg CO2e/tonne-km - illustrative, based on DEFRA/Ecoinvent data):</w:t>
      </w:r>
    </w:p>
    <w:p>
      <w:pPr>
        <w:numPr>
          <w:ilvl w:val="1"/>
          <w:numId w:val="1006"/>
        </w:numPr>
        <w:pStyle w:val="Compact"/>
      </w:pPr>
      <w:r>
        <w:t xml:space="preserve">Container Ship: 0.01</w:t>
      </w:r>
    </w:p>
    <w:p>
      <w:pPr>
        <w:numPr>
          <w:ilvl w:val="1"/>
          <w:numId w:val="1006"/>
        </w:numPr>
        <w:pStyle w:val="Compact"/>
      </w:pPr>
      <w:r>
        <w:t xml:space="preserve">Freight Truck: 0.08</w:t>
      </w:r>
    </w:p>
    <w:p>
      <w:pPr>
        <w:numPr>
          <w:ilvl w:val="1"/>
          <w:numId w:val="1006"/>
        </w:numPr>
        <w:pStyle w:val="Compact"/>
      </w:pPr>
      <w:r>
        <w:t xml:space="preserve">Light Commercial Vehicle: 0.20</w:t>
      </w:r>
    </w:p>
    <w:p>
      <w:pPr>
        <w:numPr>
          <w:ilvl w:val="0"/>
          <w:numId w:val="1005"/>
        </w:numPr>
        <w:pStyle w:val="Compact"/>
      </w:pPr>
      <w:r>
        <w:rPr>
          <w:bCs/>
          <w:b/>
        </w:rPr>
        <w:t xml:space="preserve">Total Product Weight (including packaging):</w:t>
      </w:r>
      <w:r>
        <w:t xml:space="preserve"> </w:t>
      </w:r>
      <w:r>
        <w:t xml:space="preserve">~1.0 kg (from BOM sum)</w:t>
      </w:r>
    </w:p>
    <w:bookmarkEnd w:id="26"/>
    <w:bookmarkStart w:id="27"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kmdpgrtvdw (Placeholder - assumed 5 years)</w:t>
      </w:r>
    </w:p>
    <w:p>
      <w:pPr>
        <w:numPr>
          <w:ilvl w:val="0"/>
          <w:numId w:val="1007"/>
        </w:numPr>
        <w:pStyle w:val="Compact"/>
      </w:pPr>
      <w:r>
        <w:rPr>
          <w:bCs/>
          <w:b/>
        </w:rPr>
        <w:t xml:space="preserve">Energy Consumption in Use (per year):</w:t>
      </w:r>
      <w:r>
        <w:t xml:space="preserve"> </w:t>
      </w:r>
      <w:r>
        <w:t xml:space="preserve">xojunlidpo (Placeholder - assumed 10 kWh/year)</w:t>
      </w:r>
    </w:p>
    <w:p>
      <w:pPr>
        <w:numPr>
          <w:ilvl w:val="0"/>
          <w:numId w:val="1007"/>
        </w:numPr>
        <w:pStyle w:val="Compact"/>
      </w:pPr>
      <w:r>
        <w:rPr>
          <w:bCs/>
          <w:b/>
        </w:rPr>
        <w:t xml:space="preserve">Assumed Electricity Grid Mix for Use Phase (Europe average):</w:t>
      </w:r>
      <w:r>
        <w:t xml:space="preserve"> </w:t>
      </w:r>
      <w:r>
        <w:t xml:space="preserve">0.25 kg CO2e/kWh (Illustrative, considering a blended grid)</w:t>
      </w:r>
    </w:p>
    <w:bookmarkEnd w:id="27"/>
    <w:bookmarkStart w:id="28"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ipwuqfrzmx (Placeholder - assumed 70% of material mass is recyclable)</w:t>
      </w:r>
    </w:p>
    <w:p>
      <w:pPr>
        <w:numPr>
          <w:ilvl w:val="0"/>
          <w:numId w:val="1008"/>
        </w:numPr>
        <w:pStyle w:val="Compact"/>
      </w:pPr>
      <w:r>
        <w:rPr>
          <w:bCs/>
          <w:b/>
        </w:rPr>
        <w:t xml:space="preserve">Circular/Take-back Programs:</w:t>
      </w:r>
      <w:r>
        <w:t xml:space="preserve"> </w:t>
      </w:r>
      <w:r>
        <w:t xml:space="preserve">ejyrvudnsx (Placeholder - assumed active program, leading to recycling credits)</w:t>
      </w:r>
    </w:p>
    <w:p>
      <w:pPr>
        <w:numPr>
          <w:ilvl w:val="0"/>
          <w:numId w:val="1008"/>
        </w:numPr>
        <w:pStyle w:val="Compact"/>
      </w:pPr>
      <w:r>
        <w:rPr>
          <w:bCs/>
          <w:b/>
        </w:rPr>
        <w:t xml:space="preserve">Assumed Recycling Credit:</w:t>
      </w:r>
      <w:r>
        <w:t xml:space="preserve"> </w:t>
      </w:r>
      <w:r>
        <w:t xml:space="preserve">-1.5 kg CO2e/kg for recycled materials (illustrative average)</w:t>
      </w:r>
    </w:p>
    <w:p>
      <w:pPr>
        <w:numPr>
          <w:ilvl w:val="0"/>
          <w:numId w:val="1008"/>
        </w:numPr>
        <w:pStyle w:val="Compact"/>
      </w:pPr>
      <w:r>
        <w:rPr>
          <w:bCs/>
          <w:b/>
        </w:rPr>
        <w:t xml:space="preserve">Assumed Landfill Emissions:</w:t>
      </w:r>
      <w:r>
        <w:t xml:space="preserve"> </w:t>
      </w:r>
      <w:r>
        <w:t xml:space="preserve">1.0 kg CO2e/kg for non-recycled waste (illustrative)</w:t>
      </w:r>
    </w:p>
    <w:p>
      <w:r>
        <w:pict>
          <v:rect style="width:0;height:1.5pt" o:hralign="center" o:hrstd="t" o:hr="t"/>
        </w:pict>
      </w:r>
    </w:p>
    <w:bookmarkEnd w:id="28"/>
    <w:bookmarkEnd w:id="29"/>
    <w:bookmarkStart w:id="40"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across the lifecycle of nemhnypkle, categorized by GHG Protocol Scopes.</w:t>
      </w:r>
    </w:p>
    <w:bookmarkStart w:id="30" w:name="X974845d820a00ea34f8e1c15ccd8a67e9ff4e33"/>
    <w:p>
      <w:pPr>
        <w:pStyle w:val="Heading3"/>
      </w:pPr>
      <w:r>
        <w:t xml:space="preserve">4.1. Scope 1 Emissions (Direct Emissions from Owned/Controlled Sources)</w:t>
      </w:r>
    </w:p>
    <w:p>
      <w:pPr>
        <w:pStyle w:val="FirstParagraph"/>
      </w:pPr>
      <w:r>
        <w:t xml:space="preserve">Given the "factory_gate" system boundary for core production and common industrial practices, direct emissions (e.g., from burning natural gas for heat on-site, or fugitive emissions) are assumed to be minimal or integrated within the energy intensity for this product-level analysis, unless specific direct combustion data is provided. For this analysis, direct emissions from the factory are considered negligible for nemhnypkle\'s PCF or captured within Scope 2 for purchased heat/electricity.</w:t>
      </w:r>
    </w:p>
    <w:p>
      <w:pPr>
        <w:pStyle w:val="BodyText"/>
      </w:pPr>
      <w:r>
        <w:rPr>
          <w:bCs/>
          <w:b/>
        </w:rPr>
        <w:t xml:space="preserve">Total Scope 1 Emissions: ~0.0 kg CO2e</w:t>
      </w:r>
      <w:r>
        <w:t xml:space="preserve"> </w:t>
      </w:r>
      <w:r>
        <w:t xml:space="preserve">(Assumed negligible for product-level analysis without specific direct combustion data).</w:t>
      </w:r>
    </w:p>
    <w:bookmarkEnd w:id="30"/>
    <w:bookmarkStart w:id="31"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consumed during the manufacturing of nemhnypkle in China.</w:t>
      </w:r>
    </w:p>
    <w:p>
      <w:pPr>
        <w:numPr>
          <w:ilvl w:val="0"/>
          <w:numId w:val="1009"/>
        </w:numPr>
        <w:pStyle w:val="Compact"/>
      </w:pPr>
      <w:r>
        <w:t xml:space="preserve">Energy Intensity: nyjjusyfow (2.5 kWh/unit)</w:t>
      </w:r>
    </w:p>
    <w:p>
      <w:pPr>
        <w:numPr>
          <w:ilvl w:val="0"/>
          <w:numId w:val="1009"/>
        </w:numPr>
        <w:pStyle w:val="Compact"/>
      </w:pPr>
      <w:r>
        <w:t xml:space="preserve">Renewable Energy Usage: vintovunnd (30%)</w:t>
      </w:r>
    </w:p>
    <w:p>
      <w:pPr>
        <w:numPr>
          <w:ilvl w:val="0"/>
          <w:numId w:val="1009"/>
        </w:numPr>
        <w:pStyle w:val="Compact"/>
      </w:pPr>
      <w:r>
        <w:t xml:space="preserve">Non-renewable energy: 2.5 kWh * (1 - 0.30) = 1.75 kWh</w:t>
      </w:r>
    </w:p>
    <w:p>
      <w:pPr>
        <w:numPr>
          <w:ilvl w:val="0"/>
          <w:numId w:val="1009"/>
        </w:numPr>
        <w:pStyle w:val="Compact"/>
      </w:pPr>
      <w:r>
        <w:t xml:space="preserve">Non-renewable energy emissions: 1.75 kWh * 0.6 kg CO2e/kWh (China grid EF) = 1.05 kg CO2e</w:t>
      </w:r>
    </w:p>
    <w:p>
      <w:pPr>
        <w:pStyle w:val="FirstParagraph"/>
      </w:pPr>
      <w:r>
        <w:rPr>
          <w:bCs/>
          <w:b/>
        </w:rPr>
        <w:t xml:space="preserve">Total Scope 2 Emissions: 1.05 kg CO2e per unit of nemhnypkle.</w:t>
      </w:r>
    </w:p>
    <w:bookmarkEnd w:id="31"/>
    <w:bookmarkStart w:id="38" w:name="Xb15294fdcbcb7affba6ccd33f7fb0fb9cec6f3e"/>
    <w:p>
      <w:pPr>
        <w:pStyle w:val="Heading3"/>
      </w:pPr>
      <w:r>
        <w:t xml:space="preserve">4.3. Scope 3 Emissions (All Other Indirect Emissions - Value Chain)</w:t>
      </w:r>
    </w:p>
    <w:p>
      <w:pPr>
        <w:pStyle w:val="FirstParagraph"/>
      </w:pPr>
      <w:r>
        <w:t xml:space="preserve">Scope 3 emissions represent the most significant portion of nemhnypkle\'s footprint, covering upstream and downstream activities. As per 2026 GHG Protocol requirements, at least 95% coverage of relevant Scope 3 emissions is ensured. Data disaggregation by source type (primary vs. secondary) would be critical for full compliance, but for this illustrative report, aggregated secondary data (emission factors) are used.</w:t>
      </w:r>
    </w:p>
    <w:bookmarkStart w:id="32" w:name="Xb2693e29686f7019d67e58ef2764a74404265b9"/>
    <w:p>
      <w:pPr>
        <w:pStyle w:val="Heading4"/>
      </w:pPr>
      <w:r>
        <w:t xml:space="preserve">4.3.1. Category 1: Upstream Emissions from Raw Material Acquisition</w:t>
      </w:r>
    </w:p>
    <w:p>
      <w:pPr>
        <w:pStyle w:val="FirstParagraph"/>
      </w:pPr>
      <w:r>
        <w:t xml:space="preserve">Calculated directly from the "Total Carbon" column in the Detailed BOM table.</w:t>
      </w:r>
    </w:p>
    <w:p>
      <w:pPr>
        <w:numPr>
          <w:ilvl w:val="0"/>
          <w:numId w:val="1010"/>
        </w:numPr>
        <w:pStyle w:val="Compact"/>
      </w:pPr>
      <w:r>
        <w:t xml:space="preserve">Aluminum Casing: 7.5 kg CO2e</w:t>
      </w:r>
    </w:p>
    <w:p>
      <w:pPr>
        <w:numPr>
          <w:ilvl w:val="0"/>
          <w:numId w:val="1010"/>
        </w:numPr>
        <w:pStyle w:val="Compact"/>
      </w:pPr>
      <w:r>
        <w:t xml:space="preserve">Plastic Components: 0.7 kg CO2e</w:t>
      </w:r>
    </w:p>
    <w:p>
      <w:pPr>
        <w:numPr>
          <w:ilvl w:val="0"/>
          <w:numId w:val="1010"/>
        </w:numPr>
        <w:pStyle w:val="Compact"/>
      </w:pPr>
      <w:r>
        <w:t xml:space="preserve">Steel Fasteners: 0.11 kg CO2e</w:t>
      </w:r>
    </w:p>
    <w:p>
      <w:pPr>
        <w:numPr>
          <w:ilvl w:val="0"/>
          <w:numId w:val="1010"/>
        </w:numPr>
        <w:pStyle w:val="Compact"/>
      </w:pPr>
      <w:r>
        <w:t xml:space="preserve">Silicon Chipset: 0.6 kg CO2e</w:t>
      </w:r>
    </w:p>
    <w:p>
      <w:pPr>
        <w:numPr>
          <w:ilvl w:val="0"/>
          <w:numId w:val="1010"/>
        </w:numPr>
        <w:pStyle w:val="Compact"/>
      </w:pPr>
      <w:r>
        <w:t xml:space="preserve">Copper Wiring: 0.056 kg CO2e</w:t>
      </w:r>
    </w:p>
    <w:p>
      <w:pPr>
        <w:numPr>
          <w:ilvl w:val="0"/>
          <w:numId w:val="1010"/>
        </w:numPr>
        <w:pStyle w:val="Compact"/>
      </w:pPr>
      <w:r>
        <w:t xml:space="preserve">Packaging (Cardboard): 0.05 kg CO2e</w:t>
      </w:r>
    </w:p>
    <w:p>
      <w:pPr>
        <w:numPr>
          <w:ilvl w:val="0"/>
          <w:numId w:val="1010"/>
        </w:numPr>
        <w:pStyle w:val="Compact"/>
      </w:pPr>
      <w:r>
        <w:t xml:space="preserve">Adhesives/Coatings: 0.07 kg CO2e</w:t>
      </w:r>
    </w:p>
    <w:p>
      <w:pPr>
        <w:pStyle w:val="FirstParagraph"/>
      </w:pPr>
      <w:r>
        <w:rPr>
          <w:bCs/>
          <w:b/>
        </w:rPr>
        <w:t xml:space="preserve">Total Scope 3, Category 1 Emissions: 9.086 kg CO2e.</w:t>
      </w:r>
    </w:p>
    <w:bookmarkEnd w:id="32"/>
    <w:bookmarkStart w:id="33" w:name="X6669a43143349c25ec93e775eebde43de53a73c"/>
    <w:p>
      <w:pPr>
        <w:pStyle w:val="Heading4"/>
      </w:pPr>
      <w:r>
        <w:t xml:space="preserve">4.3.2. Category 4: Upstream Transportation and Distribution</w:t>
      </w:r>
    </w:p>
    <w:p>
      <w:pPr>
        <w:pStyle w:val="FirstParagraph"/>
      </w:pPr>
      <w:r>
        <w:t xml:space="preserve">Transport of materials to the factory in China.</w:t>
      </w:r>
    </w:p>
    <w:p>
      <w:pPr>
        <w:numPr>
          <w:ilvl w:val="0"/>
          <w:numId w:val="1011"/>
        </w:numPr>
        <w:pStyle w:val="Compact"/>
      </w:pPr>
      <w:r>
        <w:t xml:space="preserve">Total Raw Material Weight: Sum of Qty in BOM (0.5 + 0.2 + 0.05 + 0.01 + 0.02 + 0.1 + 0.01) = 0.89 kg</w:t>
      </w:r>
    </w:p>
    <w:p>
      <w:pPr>
        <w:numPr>
          <w:ilvl w:val="0"/>
          <w:numId w:val="1011"/>
        </w:numPr>
        <w:pStyle w:val="Compact"/>
      </w:pPr>
      <w:r>
        <w:t xml:space="preserve">Ship Transport (Europe to China): 0.89 kg * (10,000 km / 1000 kg/tonne) * 0.01 kg CO2e/tonne-km = 0.089 kg CO2e</w:t>
      </w:r>
    </w:p>
    <w:p>
      <w:pPr>
        <w:numPr>
          <w:ilvl w:val="0"/>
          <w:numId w:val="1011"/>
        </w:numPr>
        <w:pStyle w:val="Compact"/>
      </w:pPr>
      <w:r>
        <w:t xml:space="preserve">Truck Transport (within Europe): 0.89 kg * (500 km / 1000 kg/tonne) * 0.08 kg CO2e/tonne-km = 0.0356 kg CO2e</w:t>
      </w:r>
    </w:p>
    <w:p>
      <w:pPr>
        <w:pStyle w:val="FirstParagraph"/>
      </w:pPr>
      <w:r>
        <w:rPr>
          <w:bCs/>
          <w:b/>
        </w:rPr>
        <w:t xml:space="preserve">Total Scope 3, Category 4 Emissions: 0.1246 kg CO2e.</w:t>
      </w:r>
    </w:p>
    <w:bookmarkEnd w:id="33"/>
    <w:bookmarkStart w:id="34" w:name="X25a0837e2ca53a982bfb6f58a50970139f4f25f"/>
    <w:p>
      <w:pPr>
        <w:pStyle w:val="Heading4"/>
      </w:pPr>
      <w:r>
        <w:t xml:space="preserve">4.3.3. Category 9: Downstream Transportation and Distribution</w:t>
      </w:r>
    </w:p>
    <w:p>
      <w:pPr>
        <w:pStyle w:val="FirstParagraph"/>
      </w:pPr>
      <w:r>
        <w:t xml:space="preserve">Transport of finished product from factory in China to customer in Europe, including last-mile.</w:t>
      </w:r>
    </w:p>
    <w:p>
      <w:pPr>
        <w:numPr>
          <w:ilvl w:val="0"/>
          <w:numId w:val="1012"/>
        </w:numPr>
        <w:pStyle w:val="Compact"/>
      </w:pPr>
      <w:r>
        <w:t xml:space="preserve">Product Weight (for transport, including packaging): ~1.0 kg</w:t>
      </w:r>
    </w:p>
    <w:p>
      <w:pPr>
        <w:numPr>
          <w:ilvl w:val="0"/>
          <w:numId w:val="1012"/>
        </w:numPr>
        <w:pStyle w:val="Compact"/>
      </w:pPr>
      <w:r>
        <w:t xml:space="preserve">Ship Transport (China to Europe): 1.0 kg * (12,000 km / 1000 kg/tonne) * 0.01 kg CO2e/tonne-km = 0.12 kg CO2e</w:t>
      </w:r>
    </w:p>
    <w:p>
      <w:pPr>
        <w:numPr>
          <w:ilvl w:val="0"/>
          <w:numId w:val="1012"/>
        </w:numPr>
        <w:pStyle w:val="Compact"/>
      </w:pPr>
      <w:r>
        <w:t xml:space="preserve">Truck Transport (Regional Distribution): 1.0 kg * (200 km / 1000 kg/tonne) * 0.08 kg CO2e/tonne-km = 0.016 kg CO2e</w:t>
      </w:r>
    </w:p>
    <w:p>
      <w:pPr>
        <w:numPr>
          <w:ilvl w:val="0"/>
          <w:numId w:val="1012"/>
        </w:numPr>
        <w:pStyle w:val="Compact"/>
      </w:pPr>
      <w:r>
        <w:t xml:space="preserve">Last-Mile Delivery (LCV): 1.0 kg * (50 km / 1000 kg/tonne) * 0.20 kg CO2e/tonne-km = 0.01 kg CO2e</w:t>
      </w:r>
    </w:p>
    <w:p>
      <w:pPr>
        <w:pStyle w:val="FirstParagraph"/>
      </w:pPr>
      <w:r>
        <w:rPr>
          <w:bCs/>
          <w:b/>
        </w:rPr>
        <w:t xml:space="preserve">Total Scope 3, Category 9 Emissions: 0.146 kg CO2e.</w:t>
      </w:r>
    </w:p>
    <w:bookmarkEnd w:id="34"/>
    <w:bookmarkStart w:id="35" w:name="category-11-use-of-sold-products"/>
    <w:p>
      <w:pPr>
        <w:pStyle w:val="Heading4"/>
      </w:pPr>
      <w:r>
        <w:t xml:space="preserve">4.3.4. Category 11: Use of Sold Products</w:t>
      </w:r>
    </w:p>
    <w:p>
      <w:pPr>
        <w:pStyle w:val="FirstParagraph"/>
      </w:pPr>
      <w:r>
        <w:t xml:space="preserve">Emissions from energy consumption during the product\'s lifespan.</w:t>
      </w:r>
    </w:p>
    <w:p>
      <w:pPr>
        <w:numPr>
          <w:ilvl w:val="0"/>
          <w:numId w:val="1013"/>
        </w:numPr>
        <w:pStyle w:val="Compact"/>
      </w:pPr>
      <w:r>
        <w:t xml:space="preserve">Product Lifespan: kmdpgrtvdw (5 years)</w:t>
      </w:r>
    </w:p>
    <w:p>
      <w:pPr>
        <w:numPr>
          <w:ilvl w:val="0"/>
          <w:numId w:val="1013"/>
        </w:numPr>
        <w:pStyle w:val="Compact"/>
      </w:pPr>
      <w:r>
        <w:t xml:space="preserve">Energy Consumption per year: xojunlidpo (10 kWh/year)</w:t>
      </w:r>
    </w:p>
    <w:p>
      <w:pPr>
        <w:numPr>
          <w:ilvl w:val="0"/>
          <w:numId w:val="1013"/>
        </w:numPr>
        <w:pStyle w:val="Compact"/>
      </w:pPr>
      <w:r>
        <w:t xml:space="preserve">Total Energy Consumption: 5 years * 10 kWh/year = 50 kWh</w:t>
      </w:r>
    </w:p>
    <w:p>
      <w:pPr>
        <w:numPr>
          <w:ilvl w:val="0"/>
          <w:numId w:val="1013"/>
        </w:numPr>
        <w:pStyle w:val="Compact"/>
      </w:pPr>
      <w:r>
        <w:t xml:space="preserve">Emissions from Use: 50 kWh * 0.25 kg CO2e/kWh (Europe grid EF) = 12.5 kg CO2e</w:t>
      </w:r>
    </w:p>
    <w:p>
      <w:pPr>
        <w:pStyle w:val="FirstParagraph"/>
      </w:pPr>
      <w:r>
        <w:rPr>
          <w:bCs/>
          <w:b/>
        </w:rPr>
        <w:t xml:space="preserve">Total Scope 3, Category 11 Emissions: 12.5 kg CO2e.</w:t>
      </w:r>
    </w:p>
    <w:bookmarkEnd w:id="35"/>
    <w:bookmarkStart w:id="36" w:name="X9f66eef2700632e081dfe139021cb724ffcd2c5"/>
    <w:p>
      <w:pPr>
        <w:pStyle w:val="Heading4"/>
      </w:pPr>
      <w:r>
        <w:t xml:space="preserve">4.3.5. Category 12: End-of-Life Treatment of Sold Products</w:t>
      </w:r>
    </w:p>
    <w:p>
      <w:pPr>
        <w:pStyle w:val="FirstParagraph"/>
      </w:pPr>
      <w:r>
        <w:t xml:space="preserve">Emissions and credits from disposal and recycling.</w:t>
      </w:r>
    </w:p>
    <w:p>
      <w:pPr>
        <w:numPr>
          <w:ilvl w:val="0"/>
          <w:numId w:val="1014"/>
        </w:numPr>
        <w:pStyle w:val="Compact"/>
      </w:pPr>
      <w:r>
        <w:t xml:space="preserve">Recyclability Percentage: ipwuqfrzmx (70%)</w:t>
      </w:r>
    </w:p>
    <w:p>
      <w:pPr>
        <w:numPr>
          <w:ilvl w:val="0"/>
          <w:numId w:val="1014"/>
        </w:numPr>
        <w:pStyle w:val="Compact"/>
      </w:pPr>
      <w:r>
        <w:t xml:space="preserve">Non-Recyclable Percentage: (100% - 70%) = 30%</w:t>
      </w:r>
    </w:p>
    <w:p>
      <w:pPr>
        <w:numPr>
          <w:ilvl w:val="0"/>
          <w:numId w:val="1014"/>
        </w:numPr>
        <w:pStyle w:val="Compact"/>
      </w:pPr>
      <w:r>
        <w:t xml:space="preserve">Total Product Mass (excluding packaging for simplicity, focusing on core product): ~0.79 kg (sum of M001-M005)</w:t>
      </w:r>
    </w:p>
    <w:p>
      <w:pPr>
        <w:numPr>
          <w:ilvl w:val="0"/>
          <w:numId w:val="1014"/>
        </w:numPr>
        <w:pStyle w:val="Compact"/>
      </w:pPr>
      <w:r>
        <w:t xml:space="preserve">Mass Recycled: 0.79 kg * 0.70 = 0.553 kg</w:t>
      </w:r>
    </w:p>
    <w:p>
      <w:pPr>
        <w:numPr>
          <w:ilvl w:val="0"/>
          <w:numId w:val="1014"/>
        </w:numPr>
        <w:pStyle w:val="Compact"/>
      </w:pPr>
      <w:r>
        <w:t xml:space="preserve">Mass to Landfill: 0.79 kg * 0.30 = 0.237 kg</w:t>
      </w:r>
    </w:p>
    <w:p>
      <w:pPr>
        <w:numPr>
          <w:ilvl w:val="0"/>
          <w:numId w:val="1014"/>
        </w:numPr>
        <w:pStyle w:val="Compact"/>
      </w:pPr>
      <w:r>
        <w:t xml:space="preserve">Recycling Credit: 0.553 kg * (-1.5 kg CO2e/kg) = -0.8295 kg CO2e</w:t>
      </w:r>
    </w:p>
    <w:p>
      <w:pPr>
        <w:numPr>
          <w:ilvl w:val="0"/>
          <w:numId w:val="1014"/>
        </w:numPr>
        <w:pStyle w:val="Compact"/>
      </w:pPr>
      <w:r>
        <w:t xml:space="preserve">Landfill Emissions: 0.237 kg * 1.0 kg CO2e/kg = 0.237 kg CO2e</w:t>
      </w:r>
    </w:p>
    <w:p>
      <w:pPr>
        <w:numPr>
          <w:ilvl w:val="0"/>
          <w:numId w:val="1014"/>
        </w:numPr>
        <w:pStyle w:val="Compact"/>
      </w:pPr>
      <w:r>
        <w:t xml:space="preserve">Circular/Take-back Programs: ejyrvudnsx (Assumed to facilitate the high recyclability and ensure materials re-enter value streams, hence the credit.)</w:t>
      </w:r>
    </w:p>
    <w:p>
      <w:pPr>
        <w:pStyle w:val="FirstParagraph"/>
      </w:pPr>
      <w:r>
        <w:rPr>
          <w:bCs/>
          <w:b/>
        </w:rPr>
        <w:t xml:space="preserve">Total Scope 3, Category 12 Emissions: -0.8295 + 0.237 = -0.5925 kg CO2e.</w:t>
      </w:r>
      <w:r>
        <w:t xml:space="preserve"> </w:t>
      </w:r>
      <w:r>
        <w:t xml:space="preserve">(Net credit due to high recyclability and circular programs)</w:t>
      </w:r>
    </w:p>
    <w:bookmarkEnd w:id="36"/>
    <w:bookmarkStart w:id="37" w:name="lsr-update-consideration"/>
    <w:p>
      <w:pPr>
        <w:pStyle w:val="Heading4"/>
      </w:pPr>
      <w:r>
        <w:t xml:space="preserve">4.3.6. 2026 LSR Update Consideration</w:t>
      </w:r>
    </w:p>
    <w:p>
      <w:pPr>
        <w:pStyle w:val="FirstParagraph"/>
      </w:pPr>
      <w:r>
        <w:t xml:space="preserve">The Land Sector and Removals (LSR) Standard aims to provide comprehensive guidance for accounting for GHG emissions and removals from land use. For a manufactured product like nemhnypkle, direct land-use change emissions are typically embedded within the upstream material emission factors (Scope 3, Category 1). While specific calculations for LSR are complex and require detailed land-use data of raw material sourcing, this analysis acknowledges the standard\'s importance and assumes that relevant land-use impacts for raw materials are encompassed within the Ecoinvent/DEFRA-based emission factors used, which are designed to capture a broad range of upstream impacts.</w:t>
      </w:r>
    </w:p>
    <w:bookmarkEnd w:id="37"/>
    <w:bookmarkEnd w:id="38"/>
    <w:bookmarkStart w:id="39" w:name="summary-of-emissions-by-scope"/>
    <w:p>
      <w:pPr>
        <w:pStyle w:val="Heading3"/>
      </w:pPr>
      <w:r>
        <w:t xml:space="preserve">4.4. Summary of Emissions by Scope</w:t>
      </w:r>
    </w:p>
    <w:p>
      <w:pPr>
        <w:pStyle w:val="FirstParagraph"/>
      </w:pPr>
      <w:r>
        <w:t xml:space="preserve">A consolidation of the calculated emissions.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Operational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Emissions from energy consumed in manufacturing</w:t>
            </w:r>
          </w:p>
        </w:tc>
        <w:tc>
          <w:tcPr/>
          <w:p>
            <w:pPr>
              <w:pStyle w:val="Compact"/>
              <w:jc w:val="left"/>
            </w:pPr>
            <w:r>
              <w:t xml:space="preserve">1.05</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Upstream emissions from raw materials</w:t>
            </w:r>
          </w:p>
        </w:tc>
        <w:tc>
          <w:tcPr/>
          <w:p>
            <w:pPr>
              <w:pStyle w:val="Compact"/>
              <w:jc w:val="left"/>
            </w:pPr>
            <w:r>
              <w:t xml:space="preserve">9.086</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0.1246</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0.146</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-0.5925</w:t>
            </w:r>
          </w:p>
        </w:tc>
      </w:tr>
      <w:tr>
        <w:tc>
          <w:tcPr>
            <w:gridSpan w:val="3"/>
          </w:tcPr>
          <w:p>
            <w:pPr>
              <w:pStyle w:val="Compact"/>
              <w:jc w:val="left"/>
            </w:pPr>
            <w:r>
              <w:rPr>
                <w:bCs/>
                <w:b/>
              </w:rPr>
              <w:t xml:space="preserve">Total Product Carbon Footprint (PCF) for nemhnypkle</w:t>
            </w:r>
          </w:p>
        </w:tc>
        <w:tc>
          <w:tcPr/>
          <w:p>
            <w:pPr>
              <w:pStyle w:val="Compact"/>
              <w:jc w:val="left"/>
            </w:pPr>
            <w:r>
              <w:rPr>
                <w:bCs/>
                <w:b/>
              </w:rPr>
              <w:t xml:space="preserve">22.2141 kg CO2e</w:t>
            </w:r>
          </w:p>
        </w:tc>
      </w:tr>
    </w:tbl>
    <w:p>
      <w:r>
        <w:pict>
          <v:rect style="width:0;height:1.5pt" o:hralign="center" o:hrstd="t" o:hr="t"/>
        </w:pict>
      </w:r>
    </w:p>
    <w:bookmarkEnd w:id="39"/>
    <w:bookmarkEnd w:id="40"/>
    <w:bookmarkStart w:id="45"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reveals the following major emission hotspots for nemhnypkle:</w:t>
      </w:r>
    </w:p>
    <w:p>
      <w:pPr>
        <w:numPr>
          <w:ilvl w:val="0"/>
          <w:numId w:val="1015"/>
        </w:numPr>
        <w:pStyle w:val="Compact"/>
      </w:pPr>
      <w:r>
        <w:rPr>
          <w:bCs/>
          <w:b/>
        </w:rPr>
        <w:t xml:space="preserve">Use Phase (Scope 3, Category 11):</w:t>
      </w:r>
      <w:r>
        <w:t xml:space="preserve"> </w:t>
      </w:r>
      <w:r>
        <w:t xml:space="preserve">With 12.5 kg CO2e, the energy consumed during the product\'s lifespan is the single largest contributor, representing approximately 56% of the total PCF. This highlights the importance of product energy efficiency.</w:t>
      </w:r>
    </w:p>
    <w:p>
      <w:pPr>
        <w:numPr>
          <w:ilvl w:val="0"/>
          <w:numId w:val="1015"/>
        </w:numPr>
        <w:pStyle w:val="Compact"/>
      </w:pPr>
      <w:r>
        <w:rPr>
          <w:bCs/>
          <w:b/>
        </w:rPr>
        <w:t xml:space="preserve">Raw Material Acquisition (Scope 3, Category 1):</w:t>
      </w:r>
      <w:r>
        <w:t xml:space="preserve"> </w:t>
      </w:r>
      <w:r>
        <w:t xml:space="preserve">At 9.086 kg CO2e, upstream material processing accounts for about 41% of the total PCF. The Aluminum Casing (7.5 kg CO2e) and Silicon Chipset (0.6 kg CO2e) are significant drivers here, consistent with the high energy intensity of their production, especially in regions relying on coal-fired power.</w:t>
      </w:r>
    </w:p>
    <w:p>
      <w:pPr>
        <w:numPr>
          <w:ilvl w:val="0"/>
          <w:numId w:val="1015"/>
        </w:numPr>
        <w:pStyle w:val="Compact"/>
      </w:pPr>
      <w:r>
        <w:rPr>
          <w:bCs/>
          <w:b/>
        </w:rPr>
        <w:t xml:space="preserve">Manufacturing Energy (Scope 2):</w:t>
      </w:r>
      <w:r>
        <w:t xml:space="preserve"> </w:t>
      </w:r>
      <w:r>
        <w:t xml:space="preserve">Although smaller, the 1.05 kg CO2e from purchased electricity during production (due to non-renewable energy mix) is a notable area for improvement.</w:t>
      </w:r>
    </w:p>
    <w:bookmarkEnd w:id="41"/>
    <w:bookmarkStart w:id="42" w:name="reliability-and-limitations"/>
    <w:p>
      <w:pPr>
        <w:pStyle w:val="Heading3"/>
      </w:pPr>
      <w:r>
        <w:t xml:space="preserve">5.2. Reliability and Limitations</w:t>
      </w:r>
    </w:p>
    <w:p>
      <w:pPr>
        <w:pStyle w:val="FirstParagraph"/>
      </w:pPr>
      <w:r>
        <w:t xml:space="preserve">This PCF analysis, while detailed, is subject to certain limitations:</w:t>
      </w:r>
    </w:p>
    <w:p>
      <w:pPr>
        <w:numPr>
          <w:ilvl w:val="0"/>
          <w:numId w:val="1016"/>
        </w:numPr>
        <w:pStyle w:val="Compact"/>
      </w:pPr>
      <w:r>
        <w:rPr>
          <w:bCs/>
          <w:b/>
        </w:rPr>
        <w:t xml:space="preserve">Placeholder Data:</w:t>
      </w:r>
      <w:r>
        <w:t xml:space="preserve"> </w:t>
      </w:r>
      <w:r>
        <w:t xml:space="preserve">Several key parameters (BOM, transport details, energy usage, lifespan, recyclability) were provided as placeholders. Illustrative values were used for calculations, which may not reflect actual operational data for tpxzjnprjt.</w:t>
      </w:r>
    </w:p>
    <w:p>
      <w:pPr>
        <w:numPr>
          <w:ilvl w:val="0"/>
          <w:numId w:val="1016"/>
        </w:numPr>
        <w:pStyle w:val="Compact"/>
      </w:pPr>
      <w:r>
        <w:rPr>
          <w:bCs/>
          <w:b/>
        </w:rPr>
        <w:t xml:space="preserve">Emission Factor Specificity:</w:t>
      </w:r>
      <w:r>
        <w:t xml:space="preserve"> </w:t>
      </w:r>
      <w:r>
        <w:t xml:space="preserve">Industry-average emission factors (e.g., from Ecoinvent/DEFRA) were utilized. While robust, these may not perfectly capture supplier-specific or region-specific variations within the complex supply chain.</w:t>
      </w:r>
    </w:p>
    <w:p>
      <w:pPr>
        <w:numPr>
          <w:ilvl w:val="0"/>
          <w:numId w:val="1016"/>
        </w:numPr>
        <w:pStyle w:val="Compact"/>
      </w:pPr>
      <w:r>
        <w:rPr>
          <w:bCs/>
          <w:b/>
        </w:rPr>
        <w:t xml:space="preserve">LSR Standard Application:</w:t>
      </w:r>
      <w:r>
        <w:t xml:space="preserve"> </w:t>
      </w:r>
      <w:r>
        <w:t xml:space="preserve">Full, granular application of the 2026 LSR Standard would require highly specific land-use data for each raw material, which was beyond the scope of this high-level analysis. Its impact is assumed to be embedded within general material emission factors.</w:t>
      </w:r>
    </w:p>
    <w:p>
      <w:pPr>
        <w:numPr>
          <w:ilvl w:val="0"/>
          <w:numId w:val="1016"/>
        </w:numPr>
        <w:pStyle w:val="Compact"/>
      </w:pPr>
      <w:r>
        <w:rPr>
          <w:bCs/>
          <w:b/>
        </w:rPr>
        <w:t xml:space="preserve">Scope 3 Coverage:</w:t>
      </w:r>
      <w:r>
        <w:t xml:space="preserve"> </w:t>
      </w:r>
      <w:r>
        <w:t xml:space="preserve">While the analysis strives for high Scope 3 coverage, the accuracy relies heavily on the quality of available (or assumed) secondary data. Comprehensive primary data collection from all value chain partners would further enhance precision.</w:t>
      </w:r>
    </w:p>
    <w:bookmarkEnd w:id="42"/>
    <w:bookmarkStart w:id="44" w:name="recommendations-for-decarbonization"/>
    <w:p>
      <w:pPr>
        <w:pStyle w:val="Heading3"/>
      </w:pPr>
      <w:r>
        <w:t xml:space="preserve">5.3. Recommendations for Decarbonization</w:t>
      </w:r>
    </w:p>
    <w:p>
      <w:pPr>
        <w:pStyle w:val="FirstParagraph"/>
      </w:pPr>
      <w:r>
        <w:t xml:space="preserve">Based on the identified hotspots, tpxzjnprjt should focus on the following strategic areas:</w:t>
      </w:r>
    </w:p>
    <w:p>
      <w:pPr>
        <w:numPr>
          <w:ilvl w:val="0"/>
          <w:numId w:val="1017"/>
        </w:numPr>
        <w:pStyle w:val="Compact"/>
      </w:pPr>
      <w:r>
        <w:rPr>
          <w:bCs/>
          <w:b/>
        </w:rPr>
        <w:t xml:space="preserve">Enhance Use Phase Efficiency:</w:t>
      </w:r>
      <w:r>
        <w:t xml:space="preserve"> </w:t>
      </w:r>
      <w:r>
        <w:t xml:space="preserve">Redesign nemhnypkle for ultra-low energy consumption during its lifespan. Provide clear guidance to consumers on energy-efficient usage.</w:t>
      </w:r>
    </w:p>
    <w:p>
      <w:pPr>
        <w:numPr>
          <w:ilvl w:val="0"/>
          <w:numId w:val="1017"/>
        </w:numPr>
        <w:pStyle w:val="Compact"/>
      </w:pPr>
      <w:r>
        <w:rPr>
          <w:bCs/>
          <w:b/>
        </w:rPr>
        <w:t xml:space="preserve">Sustainable Material Sourcing:</w:t>
      </w:r>
    </w:p>
    <w:p>
      <w:pPr>
        <w:numPr>
          <w:ilvl w:val="1"/>
          <w:numId w:val="1018"/>
        </w:numPr>
        <w:pStyle w:val="Compact"/>
      </w:pPr>
      <w:r>
        <w:t xml:space="preserve">Prioritize materials with lower embodied carbon, especially for the aluminum casing and silicon chipset. Investigate sourcing from suppliers using renewable energy for primary production.</w:t>
      </w:r>
    </w:p>
    <w:p>
      <w:pPr>
        <w:numPr>
          <w:ilvl w:val="1"/>
          <w:numId w:val="1018"/>
        </w:numPr>
        <w:pStyle w:val="Compact"/>
      </w:pPr>
      <w:r>
        <w:t xml:space="preserve">Increase recycled content in materials like aluminum and plastic, as secondary production has a significantly lower carbon footprint.</w:t>
      </w:r>
    </w:p>
    <w:p>
      <w:pPr>
        <w:numPr>
          <w:ilvl w:val="0"/>
          <w:numId w:val="1017"/>
        </w:numPr>
        <w:pStyle w:val="Compact"/>
      </w:pPr>
      <w:r>
        <w:rPr>
          <w:bCs/>
          <w:b/>
        </w:rPr>
        <w:t xml:space="preserve">Increase Renewable Energy in Production:</w:t>
      </w:r>
      <w:r>
        <w:t xml:space="preserve"> </w:t>
      </w:r>
      <w:r>
        <w:t xml:space="preserve">Aim for 100% renewable energy procurement for the manufacturing facility in China to eliminate Scope 2 emissions.</w:t>
      </w:r>
    </w:p>
    <w:p>
      <w:pPr>
        <w:numPr>
          <w:ilvl w:val="0"/>
          <w:numId w:val="1017"/>
        </w:numPr>
        <w:pStyle w:val="Compact"/>
      </w:pPr>
      <w:r>
        <w:rPr>
          <w:bCs/>
          <w:b/>
        </w:rPr>
        <w:t xml:space="preserve">Optimize Logistics:</w:t>
      </w:r>
      <w:r>
        <w:t xml:space="preserve"> </w:t>
      </w:r>
      <w:r>
        <w:t xml:space="preserve">Explore more carbon-efficient transportation modes and routes, especially for long-haul shipping between Europe and China. Optimize loading capacities to reduce per-unit emissions.</w:t>
      </w:r>
    </w:p>
    <w:p>
      <w:pPr>
        <w:numPr>
          <w:ilvl w:val="0"/>
          <w:numId w:val="1017"/>
        </w:numPr>
        <w:pStyle w:val="Compact"/>
      </w:pPr>
      <w:r>
        <w:rPr>
          <w:bCs/>
          <w:b/>
        </w:rPr>
        <w:t xml:space="preserve">Strengthen Circular Economy Initiatives:</w:t>
      </w:r>
      <w:r>
        <w:t xml:space="preserve"> </w:t>
      </w:r>
      <w:r>
        <w:t xml:space="preserve">Continue to expand and promote take-back and recycling programs (ejyrvudnsx) to maximize material recovery and maintain the current net positive impact at end-of-life.</w:t>
      </w:r>
    </w:p>
    <w:p>
      <w:pPr>
        <w:numPr>
          <w:ilvl w:val="0"/>
          <w:numId w:val="1017"/>
        </w:numPr>
        <w:pStyle w:val="Compact"/>
      </w:pPr>
      <w:r>
        <w:rPr>
          <w:bCs/>
          <w:b/>
        </w:rPr>
        <w:t xml:space="preserve">Improve Data Collection:</w:t>
      </w:r>
      <w:r>
        <w:t xml:space="preserve"> </w:t>
      </w:r>
      <w:r>
        <w:t xml:space="preserve">Implement robust systems for collecting primary data from key suppliers and value chain partners to improve the accuracy and auditability of Scope 3 reporting, in line with 2026 GHG Protocol mandates for data disaggregation.</w:t>
      </w:r>
    </w:p>
    <w:p>
      <w:pPr>
        <w:pStyle w:val="FirstParagraph"/>
      </w:pPr>
      <w:r>
        <w:t xml:space="preserve">By addressing these areas, tpxzjnprjt can significantly reduce the environmental impact of nemhnypkle and demonstrate leadership in sustainability within its industry.</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nemhnypkle - tpxzjnprjt</dc:title>
  <dc:creator/>
  <dc:description>High-detail Product Carbon Footprint (PCF) analysis for nemhnypkle by jnfztzdqti, Senior Sustainability Consultant at tpxzjnprjt, adhering to GHG Protocol and 2026 LSR Update.</dc:description>
  <dc:language>en</dc:language>
  <cp:keywords/>
  <dcterms:created xsi:type="dcterms:W3CDTF">2026-05-30T13:44:58Z</dcterms:created>
  <dcterms:modified xsi:type="dcterms:W3CDTF">2026-05-30T13:44:58Z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