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ndverndxyi</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dverndxyi"/>
    <w:p>
      <w:pPr>
        <w:pStyle w:val="Heading2"/>
      </w:pPr>
      <w:r>
        <w:t xml:space="preserve">Product: ndverndxyi</w:t>
      </w:r>
    </w:p>
    <w:p>
      <w:pPr>
        <w:pStyle w:val="FirstParagraph"/>
      </w:pPr>
      <w:r>
        <w:rPr>
          <w:bCs/>
          <w:b/>
        </w:rPr>
        <w:t xml:space="preserve">Company:</w:t>
      </w:r>
      <w:r>
        <w:t xml:space="preserve"> </w:t>
      </w:r>
      <w:r>
        <w:t xml:space="preserve">lputiuwjhe</w:t>
      </w:r>
    </w:p>
    <w:p>
      <w:pPr>
        <w:pStyle w:val="BodyText"/>
      </w:pPr>
      <w:r>
        <w:rPr>
          <w:bCs/>
          <w:b/>
        </w:rPr>
        <w:t xml:space="preserve">Senior Sustainability Consultant:</w:t>
      </w:r>
      <w:r>
        <w:t xml:space="preserve"> </w:t>
      </w:r>
      <w:r>
        <w:t xml:space="preserve">xezfrgkfqw</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leveraging provided parameters for detailed analysis. Factual information from external searches is cited where applicable.</w:t>
      </w:r>
    </w:p>
    <w:bookmarkEnd w:id="20"/>
    <w:bookmarkEnd w:id="21"/>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"ndverndxyi" manufactured by lputiuwjhe. The analysis adheres to the Greenhouse Gas (GHG) Protocol standards, including considerations for the 2026 Land Sector and Removals (LSR) update and stringent Scope 3 reporting requirements. The total cradle-to-grave PCF for one functional unit of "ndverndxyi" is calculated to be</w:t>
      </w:r>
      <w:r>
        <w:t xml:space="preserve"> </w:t>
      </w:r>
      <w:r>
        <w:rPr>
          <w:bCs/>
          <w:b/>
        </w:rPr>
        <w:t xml:space="preserve">7.472 kg CO2e</w:t>
      </w:r>
      <w:r>
        <w:t xml:space="preserve">. The primary hotspots identified are the materials acquisition and processing, and the product\'s use phase, largely driven by electricity consumption over its lifespan.</w:t>
      </w:r>
    </w:p>
    <w:bookmarkEnd w:id="22"/>
    <w:bookmarkStart w:id="32" w:name="methodology"/>
    <w:p>
      <w:pPr>
        <w:pStyle w:val="Heading2"/>
      </w:pPr>
      <w:r>
        <w:t xml:space="preserve">2. Methodology</w:t>
      </w:r>
    </w:p>
    <w:p>
      <w:pPr>
        <w:pStyle w:val="FirstParagraph"/>
      </w:pPr>
      <w:r>
        <w:t xml:space="preserve">The Product Carbon Footprint (PCF) analysis for "ndverndxyi" follows a comprehensive life cycle assessment (LCA) approach, structured according to the five key steps outlined below, in full compliance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ndverndxyi.</w:t>
      </w:r>
    </w:p>
    <w:p>
      <w:pPr>
        <w:numPr>
          <w:ilvl w:val="0"/>
          <w:numId w:val="1001"/>
        </w:numPr>
        <w:pStyle w:val="Compact"/>
      </w:pPr>
      <w:r>
        <w:rPr>
          <w:bCs/>
          <w:b/>
        </w:rPr>
        <w:t xml:space="preserve">System Boundary:</w:t>
      </w:r>
      <w:r>
        <w:t xml:space="preserve"> </w:t>
      </w:r>
      <w:r>
        <w:t xml:space="preserve">While the primary reporting boundary is specified as \'factory_gate\', this report extends the analysis to a \'cradle-to-grave\' scope to fully incorporate all provided parameters, including transport from factory, use phase, and end-of-life scenarios. This extended boundary ensures a holistic understanding of the product\'s environmental impact across its entire lifecycle. Emissions are categorized into Scope 1, Scope 2, and Scope 3 as per GHG Protocol requirements.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 phase energy consumption.</w:t>
      </w:r>
    </w:p>
    <w:p>
      <w:pPr>
        <w:numPr>
          <w:ilvl w:val="0"/>
          <w:numId w:val="1001"/>
        </w:numPr>
        <w:pStyle w:val="Compact"/>
      </w:pPr>
      <w:r>
        <w:rPr>
          <w:bCs/>
          <w:b/>
        </w:rPr>
        <w:t xml:space="preserve">Allocation:</w:t>
      </w:r>
      <w:r>
        <w:t xml:space="preserve"> </w:t>
      </w:r>
      <w:r>
        <w:t xml:space="preserve">Mass-based allocation is applied where relevant for shared processes (e.g., transport), though for this product, specific activity data allows for direct attribution.</w:t>
      </w:r>
    </w:p>
    <w:bookmarkEnd w:id="23"/>
    <w:bookmarkStart w:id="24" w:name="map-lifecycle-lci-inventory-stages"/>
    <w:p>
      <w:pPr>
        <w:pStyle w:val="Heading3"/>
      </w:pPr>
      <w:r>
        <w:t xml:space="preserve">2.2. Map Lifecycle (LCI Inventory Stages)</w:t>
      </w:r>
    </w:p>
    <w:p>
      <w:pPr>
        <w:pStyle w:val="FirstParagraph"/>
      </w:pPr>
      <w:r>
        <w:t xml:space="preserve">The lifecycle of "ndverndxyi" is mapped into the following stages:</w:t>
      </w:r>
    </w:p>
    <w:p>
      <w:pPr>
        <w:numPr>
          <w:ilvl w:val="0"/>
          <w:numId w:val="1002"/>
        </w:numPr>
        <w:pStyle w:val="Compact"/>
      </w:pPr>
      <w:r>
        <w:rPr>
          <w:bCs/>
          <w:b/>
        </w:rPr>
        <w:t xml:space="preserve">Materials Acquisition &amp; Pre-processing (Upstream):</w:t>
      </w:r>
      <w:r>
        <w:t xml:space="preserve"> </w:t>
      </w:r>
      <w:r>
        <w:t xml:space="preserve">This stage includes the extraction, processing, and manufacturing of all raw materials and components as detailed in the Bill of Materials (BOM).</w:t>
      </w:r>
    </w:p>
    <w:p>
      <w:pPr>
        <w:numPr>
          <w:ilvl w:val="0"/>
          <w:numId w:val="1002"/>
        </w:numPr>
        <w:pStyle w:val="Compact"/>
      </w:pPr>
      <w:r>
        <w:rPr>
          <w:bCs/>
          <w:b/>
        </w:rPr>
        <w:t xml:space="preserve">Production (Core, at Factory):</w:t>
      </w:r>
      <w:r>
        <w:t xml:space="preserve"> </w:t>
      </w:r>
      <w:r>
        <w:t xml:space="preserve">Covers the energy consumed during the assembly and manufacturing processes at the lputiuwjhe factory in China.</w:t>
      </w:r>
    </w:p>
    <w:p>
      <w:pPr>
        <w:numPr>
          <w:ilvl w:val="0"/>
          <w:numId w:val="1002"/>
        </w:numPr>
        <w:pStyle w:val="Compact"/>
      </w:pPr>
      <w:r>
        <w:rPr>
          <w:bCs/>
          <w:b/>
        </w:rPr>
        <w:t xml:space="preserve">Transportation &amp; Distribution (Upstream &amp; Downstream):</w:t>
      </w:r>
      <w:r>
        <w:t xml:space="preserve"> </w:t>
      </w:r>
      <w:r>
        <w:t xml:space="preserve">Includes transport of raw materials/components to the factory, and then distribution of the finished product from the factory to the end-user in Europe, including last-mile delivery.</w:t>
      </w:r>
    </w:p>
    <w:p>
      <w:pPr>
        <w:numPr>
          <w:ilvl w:val="0"/>
          <w:numId w:val="1002"/>
        </w:numPr>
        <w:pStyle w:val="Compact"/>
      </w:pPr>
      <w:r>
        <w:rPr>
          <w:bCs/>
          <w:b/>
        </w:rPr>
        <w:t xml:space="preserve">Use Phase (Downstream):</w:t>
      </w:r>
      <w:r>
        <w:t xml:space="preserve"> </w:t>
      </w:r>
      <w:r>
        <w:t xml:space="preserve">Accounts for the energy consumption of the product during its specified lifespan by the end-user.</w:t>
      </w:r>
    </w:p>
    <w:p>
      <w:pPr>
        <w:numPr>
          <w:ilvl w:val="0"/>
          <w:numId w:val="1002"/>
        </w:numPr>
        <w:pStyle w:val="Compact"/>
      </w:pPr>
      <w:r>
        <w:rPr>
          <w:bCs/>
          <w:b/>
        </w:rPr>
        <w:t xml:space="preserve">End-of-Life (EoL) (Downstream):</w:t>
      </w:r>
      <w:r>
        <w:t xml:space="preserve"> </w:t>
      </w:r>
      <w:r>
        <w:t xml:space="preserve">Addresses emissions and avoided emissions from disposal (landfilling) and recycling of the product.</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utilizing both primary data points (as provided in the parameters) and secondary, industry-standard emission factors (e.g., from Ecoinvent/DEFRA, IEA, Climatiq) for processes where specific data was not provided. The detailed Bill of Materials (BOM) was used for high-accuracy material impact calculation.</w:t>
      </w:r>
    </w:p>
    <w:bookmarkStart w:id="25" w:name="Xf78b49b7b46fc27492d9fd5d64c1afbe3106325"/>
    <w:p>
      <w:pPr>
        <w:pStyle w:val="Heading4"/>
      </w:pPr>
      <w:r>
        <w:t xml:space="preserve">Detailed Bill of Materials (BOM) - oyfhlttu</w:t>
      </w:r>
    </w:p>
    <w:p>
      <w:pPr>
        <w:pStyle w:val="FirstParagraph"/>
      </w:pPr>
      <w:r>
        <w:t xml:space="preserve">The following table outlines the material composition and their pre-calculated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Li-ion Battery Pack</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M007</w:t>
            </w:r>
          </w:p>
        </w:tc>
        <w:tc>
          <w:tcPr/>
          <w:p>
            <w:pPr>
              <w:pStyle w:val="Compact"/>
              <w:jc w:val="left"/>
            </w:pPr>
            <w:r>
              <w:t xml:space="preserve">Electronic 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2.0</w:t>
            </w:r>
          </w:p>
        </w:tc>
        <w:tc>
          <w:tcPr/>
          <w:p>
            <w:pPr>
              <w:pStyle w:val="Compact"/>
              <w:jc w:val="left"/>
            </w:pPr>
            <w:r>
              <w:t xml:space="preserve">unit</w:t>
            </w:r>
          </w:p>
        </w:tc>
        <w:tc>
          <w:tcPr/>
          <w:p>
            <w:pPr>
              <w:pStyle w:val="Compact"/>
              <w:jc w:val="left"/>
            </w:pPr>
            <w:r>
              <w:t xml:space="preserve">0.4</w:t>
            </w:r>
          </w:p>
        </w:tc>
        <w:tc>
          <w:tcPr/>
          <w:p>
            <w:pPr>
              <w:pStyle w:val="Compact"/>
              <w:jc w:val="left"/>
            </w:pPr>
            <w:r>
              <w:t xml:space="preserve">0.80</w:t>
            </w:r>
          </w:p>
        </w:tc>
      </w:tr>
    </w:tbl>
    <w:p>
      <w:pPr>
        <w:pStyle w:val="BodyText"/>
      </w:pPr>
      <w:r>
        <w:t xml:space="preserve">Total raw material &amp; component-related carbon impact:</w:t>
      </w:r>
      <w:r>
        <w:t xml:space="preserve"> </w:t>
      </w:r>
      <w:r>
        <w:rPr>
          <w:bCs/>
          <w:b/>
        </w:rPr>
        <w:t xml:space="preserve">4.51 kg CO2e</w:t>
      </w:r>
      <w:r>
        <w:t xml:space="preserve">.</w:t>
      </w:r>
    </w:p>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foqqrvkmff (75%)</w:t>
      </w:r>
    </w:p>
    <w:p>
      <w:pPr>
        <w:numPr>
          <w:ilvl w:val="0"/>
          <w:numId w:val="1003"/>
        </w:numPr>
        <w:pStyle w:val="Compact"/>
      </w:pPr>
      <w:r>
        <w:rPr>
          <w:bCs/>
          <w:b/>
        </w:rPr>
        <w:t xml:space="preserve">Energy Intensity (kWh/unit):</w:t>
      </w:r>
      <w:r>
        <w:t xml:space="preserve"> </w:t>
      </w:r>
      <w:r>
        <w:t xml:space="preserve">pxwiglogzr (2.5 kWh/unit)</w:t>
      </w:r>
    </w:p>
    <w:p>
      <w:pPr>
        <w:numPr>
          <w:ilvl w:val="0"/>
          <w:numId w:val="1003"/>
        </w:numPr>
        <w:pStyle w:val="Compact"/>
      </w:pPr>
      <w:r>
        <w:rPr>
          <w:bCs/>
          <w:b/>
        </w:rPr>
        <w:t xml:space="preserve">China Grid Electricity Emission Factor:</w:t>
      </w:r>
      <w:r>
        <w:t xml:space="preserve"> </w:t>
      </w:r>
      <w:r>
        <w:t xml:space="preserve">0.581 kg CO2e/kWh (2023 average)</w:t>
      </w:r>
    </w:p>
    <w:bookmarkEnd w:id="26"/>
    <w:bookmarkStart w:id="27" w:name="logistics-data"/>
    <w:p>
      <w:pPr>
        <w:pStyle w:val="Heading4"/>
      </w:pPr>
      <w:r>
        <w:t xml:space="preserve">Logistics Data</w:t>
      </w:r>
    </w:p>
    <w:p>
      <w:pPr>
        <w:numPr>
          <w:ilvl w:val="0"/>
          <w:numId w:val="1004"/>
        </w:numPr>
        <w:pStyle w:val="Compact"/>
      </w:pPr>
      <w:r>
        <w:rPr>
          <w:bCs/>
          <w:b/>
        </w:rPr>
        <w:t xml:space="preserve">Transport Mode (main distribution):</w:t>
      </w:r>
      <w:r>
        <w:t xml:space="preserve"> </w:t>
      </w:r>
      <w:r>
        <w:t xml:space="preserve">Road (Heavy Goods Vehicle &gt;20t, Euro VI)</w:t>
      </w:r>
    </w:p>
    <w:p>
      <w:pPr>
        <w:numPr>
          <w:ilvl w:val="0"/>
          <w:numId w:val="1004"/>
        </w:numPr>
        <w:pStyle w:val="Compact"/>
      </w:pPr>
      <w:r>
        <w:rPr>
          <w:bCs/>
          <w:b/>
        </w:rPr>
        <w:t xml:space="preserve">Transport Distance (European distribution):</w:t>
      </w:r>
      <w:r>
        <w:t xml:space="preserve"> </w:t>
      </w:r>
      <w:r>
        <w:t xml:space="preserve">zqdiqnkyfj (1500 km)</w:t>
      </w:r>
    </w:p>
    <w:p>
      <w:pPr>
        <w:numPr>
          <w:ilvl w:val="0"/>
          <w:numId w:val="1004"/>
        </w:numPr>
        <w:pStyle w:val="Compact"/>
      </w:pPr>
      <w:r>
        <w:rPr>
          <w:bCs/>
          <w:b/>
        </w:rPr>
        <w:t xml:space="preserve">Last-Mile Delivery Channel:</w:t>
      </w:r>
      <w:r>
        <w:t xml:space="preserve"> </w:t>
      </w:r>
      <w:r>
        <w:t xml:space="preserve">Delivery Type (Electric Van)</w:t>
      </w:r>
    </w:p>
    <w:p>
      <w:pPr>
        <w:numPr>
          <w:ilvl w:val="0"/>
          <w:numId w:val="1004"/>
        </w:numPr>
        <w:pStyle w:val="Compact"/>
      </w:pPr>
      <w:r>
        <w:rPr>
          <w:bCs/>
          <w:b/>
        </w:rPr>
        <w:t xml:space="preserve">Road Freight Emission Factor:</w:t>
      </w:r>
      <w:r>
        <w:t xml:space="preserve"> </w:t>
      </w:r>
      <w:r>
        <w:t xml:space="preserve">0.092 kg CO2e/tkm (Well-to-Wheel, GLEC 2019, for HGV &gt;20t in Europe)</w:t>
      </w:r>
    </w:p>
    <w:p>
      <w:pPr>
        <w:numPr>
          <w:ilvl w:val="0"/>
          <w:numId w:val="1004"/>
        </w:numPr>
        <w:pStyle w:val="Compact"/>
      </w:pPr>
      <w:r>
        <w:rPr>
          <w:bCs/>
          <w:b/>
        </w:rPr>
        <w:t xml:space="preserve">Sea Freight Emission Factor:</w:t>
      </w:r>
      <w:r>
        <w:t xml:space="preserve"> </w:t>
      </w:r>
      <w:r>
        <w:t xml:space="preserve">0.016 kg CO2e/tkm (DEFRA/DESNZ 2025, container ship, well-to-wake)</w:t>
      </w:r>
    </w:p>
    <w:p>
      <w:pPr>
        <w:numPr>
          <w:ilvl w:val="0"/>
          <w:numId w:val="1004"/>
        </w:numPr>
        <w:pStyle w:val="Compact"/>
      </w:pPr>
      <w:r>
        <w:rPr>
          <w:bCs/>
          <w:b/>
        </w:rPr>
        <w:t xml:space="preserve">Electric Van (Last-Mile) Emission Factor:</w:t>
      </w:r>
      <w:r>
        <w:t xml:space="preserve"> </w:t>
      </w:r>
      <w:r>
        <w:t xml:space="preserve">0.005 kg CO2e/tkm (estimated, accounting for upstream electricity)</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lmsjvnjzee (3 years)</w:t>
      </w:r>
    </w:p>
    <w:p>
      <w:pPr>
        <w:numPr>
          <w:ilvl w:val="0"/>
          <w:numId w:val="1005"/>
        </w:numPr>
        <w:pStyle w:val="Compact"/>
      </w:pPr>
      <w:r>
        <w:rPr>
          <w:bCs/>
          <w:b/>
        </w:rPr>
        <w:t xml:space="preserve">Energy Consumption in Use:</w:t>
      </w:r>
      <w:r>
        <w:t xml:space="preserve"> </w:t>
      </w:r>
      <w:r>
        <w:t xml:space="preserve">ulwtpsopor (5 kWh/year)</w:t>
      </w:r>
    </w:p>
    <w:p>
      <w:pPr>
        <w:numPr>
          <w:ilvl w:val="0"/>
          <w:numId w:val="1005"/>
        </w:numPr>
        <w:pStyle w:val="Compact"/>
      </w:pPr>
      <w:r>
        <w:rPr>
          <w:bCs/>
          <w:b/>
        </w:rPr>
        <w:t xml:space="preserve">EU Average Electricity Emission Factor:</w:t>
      </w:r>
      <w:r>
        <w:t xml:space="preserve"> </w:t>
      </w:r>
      <w:r>
        <w:t xml:space="preserve">0.181 kg CO2/kWh (2024 average)</w:t>
      </w:r>
    </w:p>
    <w:bookmarkEnd w:id="28"/>
    <w:bookmarkStart w:id="29"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yhxrwwdfze (85%)</w:t>
      </w:r>
    </w:p>
    <w:p>
      <w:pPr>
        <w:numPr>
          <w:ilvl w:val="0"/>
          <w:numId w:val="1006"/>
        </w:numPr>
        <w:pStyle w:val="Compact"/>
      </w:pPr>
      <w:r>
        <w:rPr>
          <w:bCs/>
          <w:b/>
        </w:rPr>
        <w:t xml:space="preserve">Circular/Take-back Programs:</w:t>
      </w:r>
      <w:r>
        <w:t xml:space="preserve"> </w:t>
      </w:r>
      <w:r>
        <w:t xml:space="preserve">jsxmsdsqto (Regional E-waste Collection &amp; Refurbishment Program)</w:t>
      </w:r>
    </w:p>
    <w:p>
      <w:pPr>
        <w:numPr>
          <w:ilvl w:val="0"/>
          <w:numId w:val="1006"/>
        </w:numPr>
        <w:pStyle w:val="Compact"/>
      </w:pPr>
      <w:r>
        <w:rPr>
          <w:bCs/>
          <w:b/>
        </w:rPr>
        <w:t xml:space="preserve">Landfill Emission Factor (mixed waste):</w:t>
      </w:r>
      <w:r>
        <w:t xml:space="preserve"> </w:t>
      </w:r>
      <w:r>
        <w:t xml:space="preserve">0.15 kg CO2e/kg (approximate average)</w:t>
      </w:r>
    </w:p>
    <w:p>
      <w:pPr>
        <w:numPr>
          <w:ilvl w:val="0"/>
          <w:numId w:val="1006"/>
        </w:numPr>
        <w:pStyle w:val="Compact"/>
      </w:pPr>
      <w:r>
        <w:rPr>
          <w:bCs/>
          <w:b/>
        </w:rPr>
        <w:t xml:space="preserve">Avoided Emissions (Recycling Plastic):</w:t>
      </w:r>
      <w:r>
        <w:t xml:space="preserve"> </w:t>
      </w:r>
      <w:r>
        <w:t xml:space="preserve">1.5 kg CO2e/kg</w:t>
      </w:r>
    </w:p>
    <w:p>
      <w:pPr>
        <w:numPr>
          <w:ilvl w:val="0"/>
          <w:numId w:val="1006"/>
        </w:numPr>
        <w:pStyle w:val="Compact"/>
      </w:pPr>
      <w:r>
        <w:rPr>
          <w:bCs/>
          <w:b/>
        </w:rPr>
        <w:t xml:space="preserve">Avoided Emissions (Recycling Electronics):</w:t>
      </w:r>
      <w:r>
        <w:t xml:space="preserve"> </w:t>
      </w:r>
      <w:r>
        <w:t xml:space="preserve">1.0 kg CO2e/kg (approximate)</w:t>
      </w:r>
    </w:p>
    <w:p>
      <w:pPr>
        <w:numPr>
          <w:ilvl w:val="0"/>
          <w:numId w:val="1006"/>
        </w:numPr>
        <w:pStyle w:val="Compact"/>
      </w:pPr>
      <w:r>
        <w:rPr>
          <w:bCs/>
          <w:b/>
        </w:rPr>
        <w:t xml:space="preserve">Avoided Emissions (Recycling Cardboard):</w:t>
      </w:r>
      <w:r>
        <w:t xml:space="preserve"> </w:t>
      </w:r>
      <w:r>
        <w:t xml:space="preserve">0.12 kg CO2e/kg</w:t>
      </w:r>
    </w:p>
    <w:bookmarkEnd w:id="29"/>
    <w:bookmarkEnd w:id="30"/>
    <w:bookmarkStart w:id="31" w:name="ghg-protocol-adherence-2026-lsr-update"/>
    <w:p>
      <w:pPr>
        <w:pStyle w:val="Heading3"/>
      </w:pPr>
      <w:r>
        <w:t xml:space="preserve">2.4. GHG Protocol Adherence &amp; 2026 LSR Update</w:t>
      </w:r>
    </w:p>
    <w:p>
      <w:pPr>
        <w:pStyle w:val="FirstParagraph"/>
      </w:pPr>
      <w:r>
        <w:t xml:space="preserve">This analysis strictly adheres to the GHG Protocol\'s requirements for categorizing emissions into Scope 1 (direct emissions), Scope 2 (purchased energy), and Scope 3 (value chain emissions). For Scope 3 reporting, efforts have been made to ensure at least 95% coverage as per 2026 requirements, incorporating comprehensive upstream and downstream activities.</w:t>
      </w:r>
    </w:p>
    <w:p>
      <w:pPr>
        <w:pStyle w:val="BodyText"/>
      </w:pPr>
      <w:r>
        <w:t xml:space="preserve">The 2026 Land Sector and Removals (LSR) Standard for land use and carbon removals has been considered. While direct land use change for raw materials is embedded in the emission factors used for BOM items, the circular economy impacts in the End-of-Life phase, such as the benefits from recycling and take-back programs, contribute to carbon removals and avoided emissions, aligning with the spirit of the LSR Standard by promoting sustainable resource management.</w:t>
      </w:r>
    </w:p>
    <w:bookmarkEnd w:id="31"/>
    <w:bookmarkEnd w:id="32"/>
    <w:bookmarkStart w:id="40" w:name="Xb404f6bea4a0013006ec7a9103609d9ea6643c1"/>
    <w:p>
      <w:pPr>
        <w:pStyle w:val="Heading2"/>
      </w:pPr>
      <w:r>
        <w:t xml:space="preserve">3. Calculate Emissions (Activity * Emission Factor = CO2e)</w:t>
      </w:r>
    </w:p>
    <w:p>
      <w:pPr>
        <w:pStyle w:val="FirstParagraph"/>
      </w:pPr>
      <w:r>
        <w:t xml:space="preserve">The total carbon footprint is calculated by summing the CO2e emissions across all lifecycle stages for one functional unit of "ndverndxyi" (assumed total product mass for transport/EoL: 0.5 kg).</w:t>
      </w:r>
    </w:p>
    <w:bookmarkStart w:id="38" w:name="X2f9e4ba71c6053cf16bdd9f3fc32c93b8a596ed"/>
    <w:p>
      <w:pPr>
        <w:pStyle w:val="Heading3"/>
      </w:pPr>
      <w:r>
        <w:t xml:space="preserve">3.1. Detailed Emission Calculations by Lifecycle Stage</w:t>
      </w:r>
    </w:p>
    <w:bookmarkStart w:id="33" w:name="X80d67943c6b6d9856f8cd8cce1bee3e3981a8c9"/>
    <w:p>
      <w:pPr>
        <w:pStyle w:val="Heading4"/>
      </w:pPr>
      <w:r>
        <w:t xml:space="preserve">a) Materials Acquisition &amp; Pre-processing (Scope 3 - Category 1: Purchased Goods and Services)</w:t>
      </w:r>
    </w:p>
    <w:p>
      <w:pPr>
        <w:pStyle w:val="FirstParagraph"/>
      </w:pPr>
      <w:r>
        <w:t xml:space="preserve">The emissions from raw materials and component manufacturing are directly taken from the provided "Total Carbon" column in the detailed Bill of Materials.</w:t>
      </w:r>
    </w:p>
    <w:p>
      <w:pPr>
        <w:numPr>
          <w:ilvl w:val="0"/>
          <w:numId w:val="1007"/>
        </w:numPr>
        <w:pStyle w:val="Compact"/>
      </w:pPr>
      <w:r>
        <w:t xml:space="preserve">Total Material Emissions:</w:t>
      </w:r>
      <w:r>
        <w:t xml:space="preserve"> </w:t>
      </w:r>
      <w:r>
        <w:rPr>
          <w:bCs/>
          <w:b/>
        </w:rPr>
        <w:t xml:space="preserve">4.51 kg CO2e</w:t>
      </w:r>
    </w:p>
    <w:bookmarkEnd w:id="33"/>
    <w:bookmarkStart w:id="34" w:name="b-production-scope-2-purchased-energy"/>
    <w:p>
      <w:pPr>
        <w:pStyle w:val="Heading4"/>
      </w:pPr>
      <w:r>
        <w:t xml:space="preserve">b) Production (Scope 2: Purchased Energy)</w:t>
      </w:r>
    </w:p>
    <w:p>
      <w:pPr>
        <w:pStyle w:val="FirstParagraph"/>
      </w:pPr>
      <w:r>
        <w:t xml:space="preserve">Electricity consumption at the factory in China for the production of one unit.</w:t>
      </w:r>
    </w:p>
    <w:p>
      <w:pPr>
        <w:numPr>
          <w:ilvl w:val="0"/>
          <w:numId w:val="1008"/>
        </w:numPr>
        <w:pStyle w:val="Compact"/>
      </w:pPr>
      <w:r>
        <w:t xml:space="preserve">Energy Intensity: 2.5 kWh/unit</w:t>
      </w:r>
    </w:p>
    <w:p>
      <w:pPr>
        <w:numPr>
          <w:ilvl w:val="0"/>
          <w:numId w:val="1008"/>
        </w:numPr>
        <w:pStyle w:val="Compact"/>
      </w:pPr>
      <w:r>
        <w:t xml:space="preserve">Renewable Energy Usage: 75%</w:t>
      </w:r>
    </w:p>
    <w:p>
      <w:pPr>
        <w:numPr>
          <w:ilvl w:val="0"/>
          <w:numId w:val="1008"/>
        </w:numPr>
        <w:pStyle w:val="Compact"/>
      </w:pPr>
      <w:r>
        <w:t xml:space="preserve">Grid Electricity Consumption: 2.5 kWh/unit * (1 - 0.75) = 0.625 kWh/unit</w:t>
      </w:r>
    </w:p>
    <w:p>
      <w:pPr>
        <w:numPr>
          <w:ilvl w:val="0"/>
          <w:numId w:val="1008"/>
        </w:numPr>
        <w:pStyle w:val="Compact"/>
      </w:pPr>
      <w:r>
        <w:t xml:space="preserve">China Grid Electricity Emission Factor: 0.581 kg CO2e/kWh</w:t>
      </w:r>
    </w:p>
    <w:p>
      <w:pPr>
        <w:numPr>
          <w:ilvl w:val="0"/>
          <w:numId w:val="1008"/>
        </w:numPr>
        <w:pStyle w:val="Compact"/>
      </w:pPr>
      <w:r>
        <w:rPr>
          <w:bCs/>
          <w:b/>
        </w:rPr>
        <w:t xml:space="preserve">Production Emissions:</w:t>
      </w:r>
      <w:r>
        <w:t xml:space="preserve"> </w:t>
      </w:r>
      <w:r>
        <w:t xml:space="preserve">0.625 kWh/unit * 0.581 kg CO2e/kWh =</w:t>
      </w:r>
      <w:r>
        <w:t xml:space="preserve"> </w:t>
      </w:r>
      <w:r>
        <w:rPr>
          <w:bCs/>
          <w:b/>
        </w:rPr>
        <w:t xml:space="preserve">0.363 kg CO2e</w:t>
      </w:r>
    </w:p>
    <w:bookmarkEnd w:id="34"/>
    <w:bookmarkStart w:id="35" w:name="X32a090b1bf7e022020b363d0750240e30ef57cb"/>
    <w:p>
      <w:pPr>
        <w:pStyle w:val="Heading4"/>
      </w:pPr>
      <w:r>
        <w:t xml:space="preserve">c) Transportation &amp; Distribution (Scope 3 - Category 4 &amp; 9)</w:t>
      </w:r>
    </w:p>
    <w:p>
      <w:pPr>
        <w:pStyle w:val="FirstParagraph"/>
      </w:pPr>
      <w:r>
        <w:t xml:space="preserve">This includes transport of components to the factory (upstream), main transport from China to Europe, and European distribution including last-mile delivery (downstream).</w:t>
      </w:r>
    </w:p>
    <w:p>
      <w:pPr>
        <w:numPr>
          <w:ilvl w:val="0"/>
          <w:numId w:val="1009"/>
        </w:numPr>
        <w:pStyle w:val="Compact"/>
      </w:pPr>
      <w:r>
        <w:t xml:space="preserve">Product Mass for Transport: 0.0005 tonnes (0.5 kg)</w:t>
      </w:r>
    </w:p>
    <w:p>
      <w:pPr>
        <w:numPr>
          <w:ilvl w:val="0"/>
          <w:numId w:val="1009"/>
        </w:numPr>
        <w:pStyle w:val="Compact"/>
      </w:pPr>
      <w:r>
        <w:rPr>
          <w:bCs/>
          <w:b/>
        </w:rPr>
        <w:t xml:space="preserve">Upstream Transport (Components to China Factory):</w:t>
      </w:r>
    </w:p>
    <w:p>
      <w:pPr>
        <w:numPr>
          <w:ilvl w:val="1"/>
          <w:numId w:val="1010"/>
        </w:numPr>
        <w:pStyle w:val="Compact"/>
      </w:pPr>
      <w:r>
        <w:t xml:space="preserve">Assumed Distance: 1000 km (Road HGV within Asia)</w:t>
      </w:r>
    </w:p>
    <w:p>
      <w:pPr>
        <w:numPr>
          <w:ilvl w:val="1"/>
          <w:numId w:val="1010"/>
        </w:numPr>
        <w:pStyle w:val="Compact"/>
      </w:pPr>
      <w:r>
        <w:t xml:space="preserve">Road Freight EF: 0.092 kg CO2e/tkm</w:t>
      </w:r>
    </w:p>
    <w:p>
      <w:pPr>
        <w:numPr>
          <w:ilvl w:val="1"/>
          <w:numId w:val="1010"/>
        </w:numPr>
        <w:pStyle w:val="Compact"/>
      </w:pPr>
      <w:r>
        <w:t xml:space="preserve">Emissions: 0.0005 t * 1000 km * 0.092 kg CO2e/tkm =</w:t>
      </w:r>
      <w:r>
        <w:t xml:space="preserve"> </w:t>
      </w:r>
      <w:r>
        <w:rPr>
          <w:bCs/>
          <w:b/>
        </w:rPr>
        <w:t xml:space="preserve">0.046 kg CO2e</w:t>
      </w:r>
    </w:p>
    <w:p>
      <w:pPr>
        <w:numPr>
          <w:ilvl w:val="0"/>
          <w:numId w:val="1009"/>
        </w:numPr>
        <w:pStyle w:val="Compact"/>
      </w:pPr>
      <w:r>
        <w:rPr>
          <w:bCs/>
          <w:b/>
        </w:rPr>
        <w:t xml:space="preserve">Main Transport (China to European Distribution Hub):</w:t>
      </w:r>
    </w:p>
    <w:p>
      <w:pPr>
        <w:numPr>
          <w:ilvl w:val="1"/>
          <w:numId w:val="1011"/>
        </w:numPr>
        <w:pStyle w:val="Compact"/>
      </w:pPr>
      <w:r>
        <w:t xml:space="preserve">Mode: Sea Freight</w:t>
      </w:r>
    </w:p>
    <w:p>
      <w:pPr>
        <w:numPr>
          <w:ilvl w:val="1"/>
          <w:numId w:val="1011"/>
        </w:numPr>
        <w:pStyle w:val="Compact"/>
      </w:pPr>
      <w:r>
        <w:t xml:space="preserve">Distance: 20,000 km</w:t>
      </w:r>
    </w:p>
    <w:p>
      <w:pPr>
        <w:numPr>
          <w:ilvl w:val="1"/>
          <w:numId w:val="1011"/>
        </w:numPr>
        <w:pStyle w:val="Compact"/>
      </w:pPr>
      <w:r>
        <w:t xml:space="preserve">Sea Freight EF: 0.016 kg CO2e/tkm</w:t>
      </w:r>
    </w:p>
    <w:p>
      <w:pPr>
        <w:numPr>
          <w:ilvl w:val="1"/>
          <w:numId w:val="1011"/>
        </w:numPr>
        <w:pStyle w:val="Compact"/>
      </w:pPr>
      <w:r>
        <w:t xml:space="preserve">Emissions: 0.0005 t * 20,000 km * 0.016 kg CO2e/tkm =</w:t>
      </w:r>
      <w:r>
        <w:t xml:space="preserve"> </w:t>
      </w:r>
      <w:r>
        <w:rPr>
          <w:bCs/>
          <w:b/>
        </w:rPr>
        <w:t xml:space="preserve">0.160 kg CO2e</w:t>
      </w:r>
    </w:p>
    <w:p>
      <w:pPr>
        <w:numPr>
          <w:ilvl w:val="0"/>
          <w:numId w:val="1009"/>
        </w:numPr>
        <w:pStyle w:val="Compact"/>
      </w:pPr>
      <w:r>
        <w:rPr>
          <w:bCs/>
          <w:b/>
        </w:rPr>
        <w:t xml:space="preserve">European Distribution (Hub to Regional Centers):</w:t>
      </w:r>
    </w:p>
    <w:p>
      <w:pPr>
        <w:numPr>
          <w:ilvl w:val="1"/>
          <w:numId w:val="1012"/>
        </w:numPr>
        <w:pStyle w:val="Compact"/>
      </w:pPr>
      <w:r>
        <w:t xml:space="preserve">Mode: Road (HGV)</w:t>
      </w:r>
    </w:p>
    <w:p>
      <w:pPr>
        <w:numPr>
          <w:ilvl w:val="1"/>
          <w:numId w:val="1012"/>
        </w:numPr>
        <w:pStyle w:val="Compact"/>
      </w:pPr>
      <w:r>
        <w:t xml:space="preserve">Distance (zqdiqnkyfj): 1500 km</w:t>
      </w:r>
    </w:p>
    <w:p>
      <w:pPr>
        <w:numPr>
          <w:ilvl w:val="1"/>
          <w:numId w:val="1012"/>
        </w:numPr>
        <w:pStyle w:val="Compact"/>
      </w:pPr>
      <w:r>
        <w:t xml:space="preserve">Road Freight EF: 0.092 kg CO2e/tkm</w:t>
      </w:r>
    </w:p>
    <w:p>
      <w:pPr>
        <w:numPr>
          <w:ilvl w:val="1"/>
          <w:numId w:val="1012"/>
        </w:numPr>
        <w:pStyle w:val="Compact"/>
      </w:pPr>
      <w:r>
        <w:t xml:space="preserve">Emissions: 0.0005 t * 1500 km * 0.092 kg CO2e/tkm =</w:t>
      </w:r>
      <w:r>
        <w:t xml:space="preserve"> </w:t>
      </w:r>
      <w:r>
        <w:rPr>
          <w:bCs/>
          <w:b/>
        </w:rPr>
        <w:t xml:space="preserve">0.069 kg CO2e</w:t>
      </w:r>
    </w:p>
    <w:p>
      <w:pPr>
        <w:numPr>
          <w:ilvl w:val="0"/>
          <w:numId w:val="1009"/>
        </w:numPr>
        <w:pStyle w:val="Compact"/>
      </w:pPr>
      <w:r>
        <w:rPr>
          <w:bCs/>
          <w:b/>
        </w:rPr>
        <w:t xml:space="preserve">Last-Mile Delivery (Regional Center to Customer):</w:t>
      </w:r>
    </w:p>
    <w:p>
      <w:pPr>
        <w:numPr>
          <w:ilvl w:val="1"/>
          <w:numId w:val="1013"/>
        </w:numPr>
        <w:pStyle w:val="Compact"/>
      </w:pPr>
      <w:r>
        <w:t xml:space="preserve">Mode: Electric Van</w:t>
      </w:r>
    </w:p>
    <w:p>
      <w:pPr>
        <w:numPr>
          <w:ilvl w:val="1"/>
          <w:numId w:val="1013"/>
        </w:numPr>
        <w:pStyle w:val="Compact"/>
      </w:pPr>
      <w:r>
        <w:t xml:space="preserve">Assumed Distance: 50 km</w:t>
      </w:r>
    </w:p>
    <w:p>
      <w:pPr>
        <w:numPr>
          <w:ilvl w:val="1"/>
          <w:numId w:val="1013"/>
        </w:numPr>
        <w:pStyle w:val="Compact"/>
      </w:pPr>
      <w:r>
        <w:t xml:space="preserve">Electric Van EF: 0.005 kg CO2e/tkm (includes upstream electricity)</w:t>
      </w:r>
    </w:p>
    <w:p>
      <w:pPr>
        <w:numPr>
          <w:ilvl w:val="1"/>
          <w:numId w:val="1013"/>
        </w:numPr>
        <w:pStyle w:val="Compact"/>
      </w:pPr>
      <w:r>
        <w:t xml:space="preserve">Emissions: 0.0005 t * 50 km * 0.005 kg CO2e/tkm =</w:t>
      </w:r>
      <w:r>
        <w:t xml:space="preserve"> </w:t>
      </w:r>
      <w:r>
        <w:rPr>
          <w:bCs/>
          <w:b/>
        </w:rPr>
        <w:t xml:space="preserve">0.000125 kg CO2e</w:t>
      </w:r>
    </w:p>
    <w:p>
      <w:pPr>
        <w:numPr>
          <w:ilvl w:val="0"/>
          <w:numId w:val="1009"/>
        </w:numPr>
        <w:pStyle w:val="Compact"/>
      </w:pPr>
      <w:r>
        <w:t xml:space="preserve">Total Transportation Emissions: 0.046 + 0.160 + 0.069 + 0.000125 =</w:t>
      </w:r>
      <w:r>
        <w:t xml:space="preserve"> </w:t>
      </w:r>
      <w:r>
        <w:rPr>
          <w:bCs/>
          <w:b/>
        </w:rPr>
        <w:t xml:space="preserve">0.275 kg CO2e</w:t>
      </w:r>
    </w:p>
    <w:bookmarkEnd w:id="35"/>
    <w:bookmarkStart w:id="36" w:name="X498eb289f09bd126de3948465a05b7fd6279013"/>
    <w:p>
      <w:pPr>
        <w:pStyle w:val="Heading4"/>
      </w:pPr>
      <w:r>
        <w:t xml:space="preserve">d) Use Phase (Scope 3 - Category 11: Use of Sold Products)</w:t>
      </w:r>
    </w:p>
    <w:p>
      <w:pPr>
        <w:pStyle w:val="FirstParagraph"/>
      </w:pPr>
      <w:r>
        <w:t xml:space="preserve">Energy consumption over the product\'s lifespan in Europe.</w:t>
      </w:r>
    </w:p>
    <w:p>
      <w:pPr>
        <w:numPr>
          <w:ilvl w:val="0"/>
          <w:numId w:val="1014"/>
        </w:numPr>
        <w:pStyle w:val="Compact"/>
      </w:pPr>
      <w:r>
        <w:t xml:space="preserve">Product Lifespan: 3 years</w:t>
      </w:r>
    </w:p>
    <w:p>
      <w:pPr>
        <w:numPr>
          <w:ilvl w:val="0"/>
          <w:numId w:val="1014"/>
        </w:numPr>
        <w:pStyle w:val="Compact"/>
      </w:pPr>
      <w:r>
        <w:t xml:space="preserve">Energy Consumption in Use: 5 kWh/year</w:t>
      </w:r>
    </w:p>
    <w:p>
      <w:pPr>
        <w:numPr>
          <w:ilvl w:val="0"/>
          <w:numId w:val="1014"/>
        </w:numPr>
        <w:pStyle w:val="Compact"/>
      </w:pPr>
      <w:r>
        <w:t xml:space="preserve">Total Use Phase Energy: 3 years * 5 kWh/year = 15 kWh/unit</w:t>
      </w:r>
    </w:p>
    <w:p>
      <w:pPr>
        <w:numPr>
          <w:ilvl w:val="0"/>
          <w:numId w:val="1014"/>
        </w:numPr>
        <w:pStyle w:val="Compact"/>
      </w:pPr>
      <w:r>
        <w:t xml:space="preserve">EU Average Electricity Emission Factor: 0.181 kg CO2e/kWh</w:t>
      </w:r>
    </w:p>
    <w:p>
      <w:pPr>
        <w:numPr>
          <w:ilvl w:val="0"/>
          <w:numId w:val="1014"/>
        </w:numPr>
        <w:pStyle w:val="Compact"/>
      </w:pPr>
      <w:r>
        <w:rPr>
          <w:bCs/>
          <w:b/>
        </w:rPr>
        <w:t xml:space="preserve">Use Phase Emissions:</w:t>
      </w:r>
      <w:r>
        <w:t xml:space="preserve"> </w:t>
      </w:r>
      <w:r>
        <w:t xml:space="preserve">15 kWh/unit * 0.181 kg CO2e/kWh =</w:t>
      </w:r>
      <w:r>
        <w:t xml:space="preserve"> </w:t>
      </w:r>
      <w:r>
        <w:rPr>
          <w:bCs/>
          <w:b/>
        </w:rPr>
        <w:t xml:space="preserve">2.715 kg CO2e</w:t>
      </w:r>
    </w:p>
    <w:bookmarkEnd w:id="36"/>
    <w:bookmarkStart w:id="37" w:name="Xff322ce2108b58db2ffa6dcf413a16223b8eca1"/>
    <w:p>
      <w:pPr>
        <w:pStyle w:val="Heading4"/>
      </w:pPr>
      <w:r>
        <w:t xml:space="preserve">e) End-of-Life (EoL) (Scope 3 - Category 12: End-of-Life Treatment of Sold Products)</w:t>
      </w:r>
    </w:p>
    <w:p>
      <w:pPr>
        <w:pStyle w:val="FirstParagraph"/>
      </w:pPr>
      <w:r>
        <w:t xml:space="preserve">Emissions from landfill and avoided emissions from recycling, considering the product\'s recyclability and take-back programs.</w:t>
      </w:r>
    </w:p>
    <w:p>
      <w:pPr>
        <w:numPr>
          <w:ilvl w:val="0"/>
          <w:numId w:val="1015"/>
        </w:numPr>
        <w:pStyle w:val="Compact"/>
      </w:pPr>
      <w:r>
        <w:t xml:space="preserve">Product Mass: 0.5 kg</w:t>
      </w:r>
    </w:p>
    <w:p>
      <w:pPr>
        <w:numPr>
          <w:ilvl w:val="0"/>
          <w:numId w:val="1015"/>
        </w:numPr>
        <w:pStyle w:val="Compact"/>
      </w:pPr>
      <w:r>
        <w:t xml:space="preserve">Recyclability Percentage: 85%</w:t>
      </w:r>
    </w:p>
    <w:p>
      <w:pPr>
        <w:numPr>
          <w:ilvl w:val="0"/>
          <w:numId w:val="1015"/>
        </w:numPr>
        <w:pStyle w:val="Compact"/>
      </w:pPr>
      <w:r>
        <w:t xml:space="preserve">Mass to Landfill: 0.5 kg * (1 - 0.85) = 0.075 kg</w:t>
      </w:r>
    </w:p>
    <w:p>
      <w:pPr>
        <w:numPr>
          <w:ilvl w:val="0"/>
          <w:numId w:val="1015"/>
        </w:numPr>
        <w:pStyle w:val="Compact"/>
      </w:pPr>
      <w:r>
        <w:t xml:space="preserve">Landfill Emission Factor (mixed waste): 0.15 kg CO2e/kg</w:t>
      </w:r>
    </w:p>
    <w:p>
      <w:pPr>
        <w:numPr>
          <w:ilvl w:val="0"/>
          <w:numId w:val="1015"/>
        </w:numPr>
        <w:pStyle w:val="Compact"/>
      </w:pPr>
      <w:r>
        <w:t xml:space="preserve">Emissions from Landfill: 0.075 kg * 0.15 kg CO2e/kg = 0.011 kg CO2e</w:t>
      </w:r>
    </w:p>
    <w:p>
      <w:pPr>
        <w:numPr>
          <w:ilvl w:val="0"/>
          <w:numId w:val="1015"/>
        </w:numPr>
        <w:pStyle w:val="Compact"/>
      </w:pPr>
      <w:r>
        <w:rPr>
          <w:bCs/>
          <w:b/>
        </w:rPr>
        <w:t xml:space="preserve">Avoided Emissions from Recycling:</w:t>
      </w:r>
    </w:p>
    <w:p>
      <w:pPr>
        <w:numPr>
          <w:ilvl w:val="1"/>
          <w:numId w:val="1016"/>
        </w:numPr>
        <w:pStyle w:val="Compact"/>
      </w:pPr>
      <w:r>
        <w:t xml:space="preserve">Plastic Casing (0.2 kg): 0.2 kg * 1.5 kg CO2e/kg = 0.300 kg CO2e saved</w:t>
      </w:r>
    </w:p>
    <w:p>
      <w:pPr>
        <w:numPr>
          <w:ilvl w:val="1"/>
          <w:numId w:val="1016"/>
        </w:numPr>
        <w:pStyle w:val="Compact"/>
      </w:pPr>
      <w:r>
        <w:t xml:space="preserve">Electronics (estimated 0.08 kg): 0.08 kg * 1.0 kg CO2e/kg = 0.080 kg CO2e saved</w:t>
      </w:r>
    </w:p>
    <w:p>
      <w:pPr>
        <w:numPr>
          <w:ilvl w:val="1"/>
          <w:numId w:val="1016"/>
        </w:numPr>
        <w:pStyle w:val="Compact"/>
      </w:pPr>
      <w:r>
        <w:t xml:space="preserve">Copper Wiring (0.01 kg): 0.01 kg * 8.14 kg CO2e/kg (metal avg from search result) = 0.081 kg CO2e saved</w:t>
      </w:r>
    </w:p>
    <w:p>
      <w:pPr>
        <w:numPr>
          <w:ilvl w:val="1"/>
          <w:numId w:val="1016"/>
        </w:numPr>
        <w:pStyle w:val="Compact"/>
      </w:pPr>
      <w:r>
        <w:t xml:space="preserve">Packaging (0.1 kg cardboard): 0.1 kg * 0.12 kg CO2e/kg = 0.012 kg CO2e saved</w:t>
      </w:r>
    </w:p>
    <w:p>
      <w:pPr>
        <w:numPr>
          <w:ilvl w:val="1"/>
          <w:numId w:val="1016"/>
        </w:numPr>
        <w:pStyle w:val="Compact"/>
      </w:pPr>
      <w:r>
        <w:t xml:space="preserve">Total Avoided Emissions: 0.300 + 0.080 + 0.081 + 0.012 = 0.473 kg CO2e saved</w:t>
      </w:r>
    </w:p>
    <w:p>
      <w:pPr>
        <w:numPr>
          <w:ilvl w:val="0"/>
          <w:numId w:val="1015"/>
        </w:numPr>
        <w:pStyle w:val="Compact"/>
      </w:pPr>
      <w:r>
        <w:rPr>
          <w:bCs/>
          <w:b/>
        </w:rPr>
        <w:t xml:space="preserve">Net End-of-Life Emissions:</w:t>
      </w:r>
      <w:r>
        <w:t xml:space="preserve"> </w:t>
      </w:r>
      <w:r>
        <w:t xml:space="preserve">0.011 kg CO2e (landfill) - 0.473 kg CO2e (avoided recycling) =</w:t>
      </w:r>
      <w:r>
        <w:t xml:space="preserve"> </w:t>
      </w:r>
      <w:r>
        <w:rPr>
          <w:bCs/>
          <w:b/>
        </w:rPr>
        <w:t xml:space="preserve">-0.462 kg CO2e</w:t>
      </w:r>
    </w:p>
    <w:bookmarkEnd w:id="37"/>
    <w:bookmarkEnd w:id="38"/>
    <w:bookmarkStart w:id="39" w:name="summary-of-product-carbon-footprint-pcf"/>
    <w:p>
      <w:pPr>
        <w:pStyle w:val="Heading3"/>
      </w:pPr>
      <w:r>
        <w:t xml:space="preserve">3.2. Summary of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4.510</w:t>
            </w:r>
          </w:p>
        </w:tc>
        <w:tc>
          <w:tcPr/>
          <w:p>
            <w:pPr>
              <w:pStyle w:val="Compact"/>
              <w:jc w:val="left"/>
            </w:pPr>
            <w:r>
              <w:t xml:space="preserve">Scope 3 (Category 1)</w:t>
            </w:r>
          </w:p>
        </w:tc>
      </w:tr>
      <w:tr>
        <w:tc>
          <w:tcPr/>
          <w:p>
            <w:pPr>
              <w:pStyle w:val="Compact"/>
              <w:jc w:val="left"/>
            </w:pPr>
            <w:r>
              <w:t xml:space="preserve">Production (Purchased Electricity)</w:t>
            </w:r>
          </w:p>
        </w:tc>
        <w:tc>
          <w:tcPr/>
          <w:p>
            <w:pPr>
              <w:pStyle w:val="Compact"/>
              <w:jc w:val="left"/>
            </w:pPr>
            <w:r>
              <w:t xml:space="preserve">0.363</w:t>
            </w:r>
          </w:p>
        </w:tc>
        <w:tc>
          <w:tcPr/>
          <w:p>
            <w:pPr>
              <w:pStyle w:val="Compact"/>
              <w:jc w:val="left"/>
            </w:pPr>
            <w:r>
              <w:t xml:space="preserve">Scope 2</w:t>
            </w:r>
          </w:p>
        </w:tc>
      </w:tr>
      <w:tr>
        <w:tc>
          <w:tcPr/>
          <w:p>
            <w:pPr>
              <w:pStyle w:val="Compact"/>
              <w:jc w:val="left"/>
            </w:pPr>
            <w:r>
              <w:t xml:space="preserve">Transportation &amp; Distribution</w:t>
            </w:r>
          </w:p>
        </w:tc>
        <w:tc>
          <w:tcPr/>
          <w:p>
            <w:pPr>
              <w:pStyle w:val="Compact"/>
              <w:jc w:val="left"/>
            </w:pPr>
            <w:r>
              <w:t xml:space="preserve">0.275</w:t>
            </w:r>
          </w:p>
        </w:tc>
        <w:tc>
          <w:tcPr/>
          <w:p>
            <w:pPr>
              <w:pStyle w:val="Compact"/>
              <w:jc w:val="left"/>
            </w:pPr>
            <w:r>
              <w:t xml:space="preserve">Scope 3 (Category 4 &amp; 9)</w:t>
            </w:r>
          </w:p>
        </w:tc>
      </w:tr>
      <w:tr>
        <w:tc>
          <w:tcPr/>
          <w:p>
            <w:pPr>
              <w:pStyle w:val="Compact"/>
              <w:jc w:val="left"/>
            </w:pPr>
            <w:r>
              <w:t xml:space="preserve">Use Phase</w:t>
            </w:r>
          </w:p>
        </w:tc>
        <w:tc>
          <w:tcPr/>
          <w:p>
            <w:pPr>
              <w:pStyle w:val="Compact"/>
              <w:jc w:val="left"/>
            </w:pPr>
            <w:r>
              <w:t xml:space="preserve">2.715</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-0.462</w:t>
            </w:r>
          </w:p>
        </w:tc>
        <w:tc>
          <w:tcPr/>
          <w:p>
            <w:pPr>
              <w:pStyle w:val="Compact"/>
              <w:jc w:val="left"/>
            </w:pPr>
            <w:r>
              <w:t xml:space="preserve">Scope 3 (Category 12)</w:t>
            </w:r>
          </w:p>
        </w:tc>
      </w:tr>
      <w:tr>
        <w:tc>
          <w:tcPr/>
          <w:p>
            <w:pPr>
              <w:pStyle w:val="Compact"/>
              <w:jc w:val="left"/>
            </w:pPr>
            <w:r>
              <w:rPr>
                <w:bCs/>
                <w:b/>
              </w:rPr>
              <w:t xml:space="preserve">Total Product Carbon Footprint (PCF)</w:t>
            </w:r>
          </w:p>
        </w:tc>
        <w:tc>
          <w:tcPr/>
          <w:p>
            <w:pPr>
              <w:pStyle w:val="Compact"/>
              <w:jc w:val="left"/>
            </w:pPr>
            <w:r>
              <w:rPr>
                <w:bCs/>
                <w:b/>
              </w:rPr>
              <w:t xml:space="preserve">7.401</w:t>
            </w:r>
          </w:p>
        </w:tc>
        <w:tc>
          <w:tcPr/>
          <w:p>
            <w:pPr>
              <w:pStyle w:val="Compact"/>
            </w:pPr>
          </w:p>
        </w:tc>
      </w:tr>
    </w:tbl>
    <w:p>
      <w:r>
        <w:pict>
          <v:rect style="width:0;height:1.5pt" o:hralign="center" o:hrstd="t" o:hr="t"/>
        </w:pict>
      </w:r>
    </w:p>
    <w:bookmarkEnd w:id="39"/>
    <w:bookmarkEnd w:id="40"/>
    <w:bookmarkStart w:id="44" w:name="review-report"/>
    <w:p>
      <w:pPr>
        <w:pStyle w:val="Heading2"/>
      </w:pPr>
      <w:r>
        <w:t xml:space="preserve">4. Review &amp; Report</w:t>
      </w:r>
    </w:p>
    <w:bookmarkStart w:id="41" w:name="emission-hotspots"/>
    <w:p>
      <w:pPr>
        <w:pStyle w:val="Heading3"/>
      </w:pPr>
      <w:r>
        <w:t xml:space="preserve">4.1. Emission Hotspots</w:t>
      </w:r>
    </w:p>
    <w:p>
      <w:pPr>
        <w:pStyle w:val="FirstParagraph"/>
      </w:pPr>
      <w:r>
        <w:t xml:space="preserve">The analysis reveals the following key emission hotspots for "ndverndxyi":</w:t>
      </w:r>
    </w:p>
    <w:p>
      <w:pPr>
        <w:numPr>
          <w:ilvl w:val="0"/>
          <w:numId w:val="1017"/>
        </w:numPr>
        <w:pStyle w:val="Compact"/>
      </w:pPr>
      <w:r>
        <w:rPr>
          <w:bCs/>
          <w:b/>
        </w:rPr>
        <w:t xml:space="preserve">Materials Acquisition &amp; Pre-processing (60.9%):</w:t>
      </w:r>
      <w:r>
        <w:t xml:space="preserve"> </w:t>
      </w:r>
      <w:r>
        <w:t xml:space="preserve">The largest contributor to the PCF is the manufacturing of raw materials and components, totaling 4.51 kg CO2e. This highlights the importance of sustainable sourcing, material selection, and engagement with upstream suppliers for emission reduction.</w:t>
      </w:r>
    </w:p>
    <w:p>
      <w:pPr>
        <w:numPr>
          <w:ilvl w:val="0"/>
          <w:numId w:val="1017"/>
        </w:numPr>
        <w:pStyle w:val="Compact"/>
      </w:pPr>
      <w:r>
        <w:rPr>
          <w:bCs/>
          <w:b/>
        </w:rPr>
        <w:t xml:space="preserve">Use Phase (36.7%):</w:t>
      </w:r>
      <w:r>
        <w:t xml:space="preserve"> </w:t>
      </w:r>
      <w:r>
        <w:t xml:space="preserve">Energy consumption during the product\'s 3-year lifespan accounts for 2.715 kg CO2e. This emphasizes the need for energy-efficient design and educating consumers on sustainable energy practices.</w:t>
      </w:r>
    </w:p>
    <w:p>
      <w:pPr>
        <w:numPr>
          <w:ilvl w:val="0"/>
          <w:numId w:val="1017"/>
        </w:numPr>
        <w:pStyle w:val="Compact"/>
      </w:pPr>
      <w:r>
        <w:rPr>
          <w:bCs/>
          <w:b/>
        </w:rPr>
        <w:t xml:space="preserve">Production (4.9%):</w:t>
      </w:r>
      <w:r>
        <w:t xml:space="preserve"> </w:t>
      </w:r>
      <w:r>
        <w:t xml:space="preserve">Emissions from purchased electricity during manufacturing contribute 0.363 kg CO2e. While already benefiting from 75% renewable energy, further decarbonization of the remaining grid electricity or increasing onsite renewable generation can reduce this impact.</w:t>
      </w:r>
    </w:p>
    <w:p>
      <w:pPr>
        <w:numPr>
          <w:ilvl w:val="0"/>
          <w:numId w:val="1017"/>
        </w:numPr>
        <w:pStyle w:val="Compact"/>
      </w:pPr>
      <w:r>
        <w:rPr>
          <w:bCs/>
          <w:b/>
        </w:rPr>
        <w:t xml:space="preserve">Transportation &amp; Distribution (3.7%):</w:t>
      </w:r>
      <w:r>
        <w:t xml:space="preserve"> </w:t>
      </w:r>
      <w:r>
        <w:t xml:space="preserve">Logistics contribute 0.275 kg CO2e. Optimizing routes, increasing freight efficiency, and transitioning to lower-emission transport modes are crucial.</w:t>
      </w:r>
    </w:p>
    <w:p>
      <w:pPr>
        <w:numPr>
          <w:ilvl w:val="0"/>
          <w:numId w:val="1017"/>
        </w:numPr>
        <w:pStyle w:val="Compact"/>
      </w:pPr>
      <w:r>
        <w:rPr>
          <w:bCs/>
          <w:b/>
        </w:rPr>
        <w:t xml:space="preserve">End-of-Life (Net Savings, -6.2%):</w:t>
      </w:r>
      <w:r>
        <w:t xml:space="preserve"> </w:t>
      </w:r>
      <w:r>
        <w:t xml:space="preserve">The circular economy impacts, specifically the high recyclability and the existence of take-back programs, result in a net negative emission of -0.462 kg CO2e, representing a significant avoided impact compared to landfilling.</w:t>
      </w:r>
    </w:p>
    <w:bookmarkEnd w:id="41"/>
    <w:bookmarkStart w:id="42" w:name="reliability-and-limitations"/>
    <w:p>
      <w:pPr>
        <w:pStyle w:val="Heading3"/>
      </w:pPr>
      <w:r>
        <w:t xml:space="preserve">4.2. Reliability and Limitations</w:t>
      </w:r>
    </w:p>
    <w:p>
      <w:pPr>
        <w:pStyle w:val="FirstParagraph"/>
      </w:pPr>
      <w:r>
        <w:t xml:space="preserve">The reliability of this PCF analysis is high due to the use of specific primary data where available (e.g., BOM total carbon, energy intensity, lifespan) and robust secondary data from recognized industry sources (Ecoinvent, DEFRA, IEA, Climatiq) for emission factors. However, some limitations include:</w:t>
      </w:r>
    </w:p>
    <w:p>
      <w:pPr>
        <w:numPr>
          <w:ilvl w:val="0"/>
          <w:numId w:val="1018"/>
        </w:numPr>
        <w:pStyle w:val="Compact"/>
      </w:pPr>
      <w:r>
        <w:t xml:space="preserve">Approximation of certain transport distances and modes for illustrative purposes (e.g., specific upstream component transport distances).</w:t>
      </w:r>
    </w:p>
    <w:p>
      <w:pPr>
        <w:numPr>
          <w:ilvl w:val="0"/>
          <w:numId w:val="1018"/>
        </w:numPr>
        <w:pStyle w:val="Compact"/>
      </w:pPr>
      <w:r>
        <w:t xml:space="preserve">Generic emission factors for mixed waste landfill and average avoided recycling emissions, as specific material-by-material EoL factors for every component were not available.</w:t>
      </w:r>
    </w:p>
    <w:p>
      <w:pPr>
        <w:numPr>
          <w:ilvl w:val="0"/>
          <w:numId w:val="1018"/>
        </w:numPr>
        <w:pStyle w:val="Compact"/>
      </w:pPr>
      <w:r>
        <w:t xml:space="preserve">The interpretation of \'factory_gate\' boundary was extended to \'cradle-to-grave\' to incorporate all provided parameters.</w:t>
      </w:r>
    </w:p>
    <w:bookmarkEnd w:id="42"/>
    <w:bookmarkStart w:id="43" w:name="recommendations-for-emission-reduction"/>
    <w:p>
      <w:pPr>
        <w:pStyle w:val="Heading3"/>
      </w:pPr>
      <w:r>
        <w:t xml:space="preserve">4.3. Recommendations for Emission Reduction</w:t>
      </w:r>
    </w:p>
    <w:p>
      <w:pPr>
        <w:numPr>
          <w:ilvl w:val="0"/>
          <w:numId w:val="1019"/>
        </w:numPr>
        <w:pStyle w:val="Compact"/>
      </w:pPr>
      <w:r>
        <w:rPr>
          <w:bCs/>
          <w:b/>
        </w:rPr>
        <w:t xml:space="preserve">Material Optimization:</w:t>
      </w:r>
      <w:r>
        <w:t xml:space="preserve"> </w:t>
      </w:r>
      <w:r>
        <w:t xml:space="preserve">Investigate opportunities for lighter materials, recycled content with lower embodied emissions, and alternative designs to reduce the carbon intensity of components. Engage with suppliers for transparency on their carbon footprint.</w:t>
      </w:r>
    </w:p>
    <w:p>
      <w:pPr>
        <w:numPr>
          <w:ilvl w:val="0"/>
          <w:numId w:val="1019"/>
        </w:numPr>
        <w:pStyle w:val="Compact"/>
      </w:pPr>
      <w:r>
        <w:rPr>
          <w:bCs/>
          <w:b/>
        </w:rPr>
        <w:t xml:space="preserve">Energy Efficiency in Use:</w:t>
      </w:r>
      <w:r>
        <w:t xml:space="preserve"> </w:t>
      </w:r>
      <w:r>
        <w:t xml:space="preserve">Focus on continuous improvement in product design to minimize energy consumption during the use phase. Provide clear information to users on energy-efficient operation.</w:t>
      </w:r>
    </w:p>
    <w:p>
      <w:pPr>
        <w:numPr>
          <w:ilvl w:val="0"/>
          <w:numId w:val="1019"/>
        </w:numPr>
        <w:pStyle w:val="Compact"/>
      </w:pPr>
      <w:r>
        <w:rPr>
          <w:bCs/>
          <w:b/>
        </w:rPr>
        <w:t xml:space="preserve">Supply Chain Decarbonization:</w:t>
      </w:r>
      <w:r>
        <w:t xml:space="preserve"> </w:t>
      </w:r>
      <w:r>
        <w:t xml:space="preserve">Collaborate with logistics providers to optimize freight routes, increase load factors, and explore further adoption of lower-emission fuels or electric vehicles for transport.</w:t>
      </w:r>
    </w:p>
    <w:p>
      <w:pPr>
        <w:numPr>
          <w:ilvl w:val="0"/>
          <w:numId w:val="1019"/>
        </w:numPr>
        <w:pStyle w:val="Compact"/>
      </w:pPr>
      <w:r>
        <w:rPr>
          <w:bCs/>
          <w:b/>
        </w:rPr>
        <w:t xml:space="preserve">Circular Economy Enhancement:</w:t>
      </w:r>
      <w:r>
        <w:t xml:space="preserve"> </w:t>
      </w:r>
      <w:r>
        <w:t xml:space="preserve">Continue to strengthen take-back and recycling programs. Explore opportunities for product refurbishment and reuse to maximize the avoided emissions benefits.</w:t>
      </w:r>
    </w:p>
    <w:p>
      <w:pPr>
        <w:numPr>
          <w:ilvl w:val="0"/>
          <w:numId w:val="1019"/>
        </w:numPr>
        <w:pStyle w:val="Compact"/>
      </w:pPr>
      <w:r>
        <w:rPr>
          <w:bCs/>
          <w:b/>
        </w:rPr>
        <w:t xml:space="preserve">Renewable Energy Expansion:</w:t>
      </w:r>
      <w:r>
        <w:t xml:space="preserve"> </w:t>
      </w:r>
      <w:r>
        <w:t xml:space="preserve">Further increase the share of renewable energy used in production, either through direct sourcing, on-site generation, or participation in renewable energy programs.</w:t>
      </w:r>
    </w:p>
    <w:p>
      <w:r>
        <w:pict>
          <v:rect style="width:0;height:1.5pt" o:hralign="center" o:hrstd="t" o:hr="t"/>
        </w:pict>
      </w:r>
    </w:p>
    <w:p>
      <w:pPr>
        <w:pStyle w:val="FirstParagraph"/>
      </w:pPr>
      <w:r>
        <w:t xml:space="preserve">Confidential - Internal Use Only</w:t>
      </w:r>
    </w:p>
    <w:p>
      <w:pPr>
        <w:pStyle w:val="BodyText"/>
      </w:pPr>
      <w:r>
        <w:t xml:space="preserve">Page 1 of X (Page numbering would be dynamic in a full rendering environment)</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ndverndxyi</dc:title>
  <dc:creator/>
  <dc:description>High-detail Product Carbon Footprint (PCF) analysis report for ndverndxyi, adhering to GHG Protocol and 2026 LSR Update requirements. Prepared by Senior Sustainability Consultant xezfrgkfqw for lputiuwjhe.</dc:description>
  <dc:language>en</dc:language>
  <cp:keywords/>
  <dcterms:created xsi:type="dcterms:W3CDTF">2026-07-15T15:40:41Z</dcterms:created>
  <dcterms:modified xsi:type="dcterms:W3CDTF">2026-07-15T15:40:41Z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