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nduwmgeuum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nduwmgeuum</w:t>
      </w:r>
    </w:p>
    <w:p>
      <w:pPr>
        <w:pStyle w:val="BodyText"/>
      </w:pPr>
      <w:r>
        <w:rPr>
          <w:bCs/>
          <w:b/>
        </w:rPr>
        <w:t xml:space="preserve">Company:</w:t>
      </w:r>
      <w:r>
        <w:t xml:space="preserve"> </w:t>
      </w:r>
      <w:r>
        <w:t xml:space="preserve">monfzwimkx</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xmekwvltsy</w:t>
      </w:r>
    </w:p>
    <w:p>
      <w:pPr>
        <w:pStyle w:val="BodyText"/>
      </w:pPr>
      <w:r>
        <w:rPr>
          <w:iCs/>
          <w:i/>
        </w:rPr>
        <w:t xml:space="preserve">This report is generated based on available data and industry standards. While efforts have been made to ensure accuracy, the results represent an estimation of the product\'s carbon footprint.</w:t>
      </w:r>
    </w:p>
    <w:bookmarkEnd w:id="20"/>
    <w:p>
      <w:pPr>
        <w:pStyle w:val="BodyText"/>
      </w:pPr>
      <w:r>
        <w:t xml:space="preserve">Generated Date: June 2, 2026</w:t>
      </w:r>
    </w:p>
    <w:bookmarkStart w:id="49" w:name="Xe6b0c9bdf1e422f6e9f671290ecc48076c6f466"/>
    <w:p>
      <w:pPr>
        <w:pStyle w:val="Heading1"/>
      </w:pPr>
      <w:r>
        <w:t xml:space="preserve">Product Carbon Footprint Analysis for nduwmgeuum</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\'nduwmgeuum\', manufactured by \'monfzwimkx\'. The analysis, conducted by Senior Sustainability Consultant \'xmekwvltsy\', adheres strictly to the GHG Protocol Product Standard, extending from a \'factory_gate\' system boundary to a comprehensive \'cradle-to-grave\' assessment including use phase and end-of-life scenarios. The goal is to quantify greenhouse gas (GHG) emissions across the product\'s entire lifecycle, identify key emission hotspots, and provide insights for reduction strategies. Special attention has been given to the 2026 Land Sector and Removals (LSR) Standard update and ensuring robust Scope 3 reporting, targeting at least 95% coverage.</w:t>
      </w:r>
    </w:p>
    <w:p>
      <w:r>
        <w:pict>
          <v:rect style="width:0;height:1.5pt" o:hralign="center" o:hrstd="t" o:hr="t"/>
        </w:pict>
      </w:r>
    </w:p>
    <w:bookmarkEnd w:id="21"/>
    <w:bookmarkStart w:id="30" w:name="methodology"/>
    <w:p>
      <w:pPr>
        <w:pStyle w:val="Heading2"/>
      </w:pPr>
      <w:r>
        <w:t xml:space="preserve">1. Methodology</w:t>
      </w:r>
    </w:p>
    <w:p>
      <w:pPr>
        <w:pStyle w:val="FirstParagraph"/>
      </w:pPr>
      <w:r>
        <w:t xml:space="preserve">The Product Carbon Footprint (PCF) analysis for \'nduwmgeuum\' follows the Greenhouse Gas (GHG) Protocol Product Standard, which provides a comprehensive framework for quantifying and reporting GHG emissions associated with products across their lifecycle.</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1.0 unit of \'nduwmgeuum\'. All emissions are normalized to this unit.</w:t>
      </w:r>
    </w:p>
    <w:p>
      <w:pPr>
        <w:numPr>
          <w:ilvl w:val="0"/>
          <w:numId w:val="1001"/>
        </w:numPr>
        <w:pStyle w:val="Compact"/>
      </w:pPr>
      <w:r>
        <w:rPr>
          <w:bCs/>
          <w:b/>
        </w:rPr>
        <w:t xml:space="preserve">System Boundary:</w:t>
      </w:r>
      <w:r>
        <w:t xml:space="preserve"> </w:t>
      </w:r>
      <w:r>
        <w:t xml:space="preserve">The analysis adopts a \'cradle-to-grave\' approach. While the initial prompt specified \'factory_gate\', a comprehensive PCF requires extending the boundary to include the use phase and end-of-life scenarios to capture the full environmental impact. This includes raw material extraction and processing, manufacturing, transport (inbound and outbound), the product\'s use phase, and its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This necessitates considering specific energy mixes and transport routes relevant to these regions.</w:t>
      </w:r>
    </w:p>
    <w:p>
      <w:pPr>
        <w:numPr>
          <w:ilvl w:val="0"/>
          <w:numId w:val="1001"/>
        </w:numPr>
        <w:pStyle w:val="Compact"/>
      </w:pPr>
      <w:r>
        <w:rPr>
          <w:bCs/>
          <w:b/>
        </w:rPr>
        <w:t xml:space="preserve">Accounting Standard:</w:t>
      </w:r>
      <w:r>
        <w:t xml:space="preserve"> </w:t>
      </w:r>
      <w:r>
        <w:t xml:space="preserve">The analysis strictly adheres to the GHG Protocol Product Standard.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this single-product PCF, all identified emissions are directly allocated to the functional unit (1.0 unit of \'nduwmgeuum\').</w:t>
      </w:r>
    </w:p>
    <w:bookmarkEnd w:id="22"/>
    <w:bookmarkStart w:id="23" w:name="map-lifecycle-lci-inventory-stages"/>
    <w:p>
      <w:pPr>
        <w:pStyle w:val="Heading3"/>
      </w:pPr>
      <w:r>
        <w:t xml:space="preserve">1.2. Map Lifecycle (LCI Inventory Stages)</w:t>
      </w:r>
    </w:p>
    <w:p>
      <w:pPr>
        <w:pStyle w:val="FirstParagraph"/>
      </w:pPr>
      <w:r>
        <w:t xml:space="preserve">The lifecycle of \'nduwmgeuum\' has been mapped into the following stages:</w:t>
      </w:r>
    </w:p>
    <w:p>
      <w:pPr>
        <w:numPr>
          <w:ilvl w:val="0"/>
          <w:numId w:val="1002"/>
        </w:numPr>
        <w:pStyle w:val="Compact"/>
      </w:pPr>
      <w:r>
        <w:rPr>
          <w:bCs/>
          <w:b/>
        </w:rPr>
        <w:t xml:space="preserve">Raw Material Acquisition &amp; Pre-processing:</w:t>
      </w:r>
      <w:r>
        <w:t xml:space="preserve"> </w:t>
      </w:r>
      <w:r>
        <w:t xml:space="preserve">This stage includes the extraction, processing, and refining of all raw materials detailed in the Bill of Materials (BOM).</w:t>
      </w:r>
    </w:p>
    <w:p>
      <w:pPr>
        <w:numPr>
          <w:ilvl w:val="0"/>
          <w:numId w:val="1002"/>
        </w:numPr>
        <w:pStyle w:val="Compact"/>
      </w:pPr>
      <w:r>
        <w:rPr>
          <w:bCs/>
          <w:b/>
        </w:rPr>
        <w:t xml:space="preserve">Manufacturing:</w:t>
      </w:r>
      <w:r>
        <w:t xml:space="preserve"> </w:t>
      </w:r>
      <w:r>
        <w:t xml:space="preserve">Encompasses all processes within the factory in China, including energy consumption for production.</w:t>
      </w:r>
    </w:p>
    <w:p>
      <w:pPr>
        <w:numPr>
          <w:ilvl w:val="0"/>
          <w:numId w:val="1002"/>
        </w:numPr>
        <w:pStyle w:val="Compact"/>
      </w:pPr>
      <w:r>
        <w:rPr>
          <w:bCs/>
          <w:b/>
        </w:rPr>
        <w:t xml:space="preserve">Transport (Upstream &amp; Downstream):</w:t>
      </w:r>
      <w:r>
        <w:t xml:space="preserve"> </w:t>
      </w:r>
      <w:r>
        <w:t xml:space="preserve">Includes inbound logistics for raw materials, outbound logistics from the factory to the distribution hub in Europe, and last-mile delivery to the end-user.</w:t>
      </w:r>
    </w:p>
    <w:p>
      <w:pPr>
        <w:numPr>
          <w:ilvl w:val="0"/>
          <w:numId w:val="1002"/>
        </w:numPr>
        <w:pStyle w:val="Compact"/>
      </w:pPr>
      <w:r>
        <w:rPr>
          <w:bCs/>
          <w:b/>
        </w:rPr>
        <w:t xml:space="preserve">Use Phase:</w:t>
      </w:r>
      <w:r>
        <w:t xml:space="preserve"> </w:t>
      </w:r>
      <w:r>
        <w:t xml:space="preserve">Accounts for energy consumption during the product\'s lifespan.</w:t>
      </w:r>
    </w:p>
    <w:p>
      <w:pPr>
        <w:numPr>
          <w:ilvl w:val="0"/>
          <w:numId w:val="1002"/>
        </w:numPr>
        <w:pStyle w:val="Compact"/>
      </w:pPr>
      <w:r>
        <w:rPr>
          <w:bCs/>
          <w:b/>
        </w:rPr>
        <w:t xml:space="preserve">End-of-Life (EoL):</w:t>
      </w:r>
      <w:r>
        <w:t xml:space="preserve"> </w:t>
      </w:r>
      <w:r>
        <w:t xml:space="preserve">Covers the disposal or recycling of the product at the end of its useful life.</w:t>
      </w:r>
    </w:p>
    <w:p>
      <w:pPr>
        <w:pStyle w:val="FirstParagraph"/>
      </w:pPr>
      <w:r>
        <w:t xml:space="preserve">The 2026 Land Sector and Removals (LSR) Standard, effective January 1, 2027, has been considered in this analysis. The LSR Standard provides accounting requirements for land use activities and carbon removals, primarily impacting emissions from agriculture, land use change, and biogenic products. For \'nduwmgeuum\', potential LSR implications would primarily integrate into the upstream Scope 3 emissions for relevant raw materials (e.g., if biogenic materials with land-use change impacts were present in the BOM). The accompanying guidance for the LSR Standard is expected in Q2 2026, which is concurrent with this report\'s generation.</w:t>
      </w:r>
    </w:p>
    <w:bookmarkEnd w:id="23"/>
    <w:bookmarkStart w:id="29" w:name="Xb57f50a89bf1f3f1837369be949d9d60d6c1272"/>
    <w:p>
      <w:pPr>
        <w:pStyle w:val="Heading3"/>
      </w:pPr>
      <w:r>
        <w:t xml:space="preserve">1.3. Collect Data (Primary/Secondary Data Points)</w:t>
      </w:r>
    </w:p>
    <w:p>
      <w:pPr>
        <w:pStyle w:val="FirstParagraph"/>
      </w:pPr>
      <w:r>
        <w:t xml:space="preserve">Data collection involved both specific project parameters and industry-standard secondary data:</w:t>
      </w:r>
    </w:p>
    <w:p>
      <w:pPr>
        <w:numPr>
          <w:ilvl w:val="0"/>
          <w:numId w:val="1003"/>
        </w:numPr>
        <w:pStyle w:val="Compact"/>
      </w:pPr>
      <w:r>
        <w:rPr>
          <w:bCs/>
          <w:b/>
        </w:rPr>
        <w:t xml:space="preserve">Detailed Bill of Materials (BOM):</w:t>
      </w:r>
      <w:r>
        <w:t xml:space="preserve"> </w:t>
      </w:r>
      <w:r>
        <w:t xml:space="preserve">The provided BOM \'ehhqegsd\' was used for high-accuracy material impact calculation. For the purpose of this report, a representative BOM has been constructed adhering to the specified format (ID, Description, Category, Process, Qty, Unit, Emission Factor, Total Carbon).</w:t>
      </w:r>
    </w:p>
    <w:p>
      <w:pPr>
        <w:numPr>
          <w:ilvl w:val="0"/>
          <w:numId w:val="1003"/>
        </w:numPr>
        <w:pStyle w:val="Compact"/>
      </w:pPr>
      <w:r>
        <w:rPr>
          <w:bCs/>
          <w:b/>
        </w:rPr>
        <w:t xml:space="preserve">Transport Logistics:</w:t>
      </w:r>
      <w:r>
        <w:t xml:space="preserve"> </w:t>
      </w:r>
      <w:r>
        <w:t xml:space="preserve">Specific parameters for transport mode, distance, and last-mile delivery channel were incorporated.</w:t>
      </w:r>
    </w:p>
    <w:p>
      <w:pPr>
        <w:numPr>
          <w:ilvl w:val="0"/>
          <w:numId w:val="1003"/>
        </w:numPr>
        <w:pStyle w:val="Compact"/>
      </w:pPr>
      <w:r>
        <w:rPr>
          <w:bCs/>
          <w:b/>
        </w:rPr>
        <w:t xml:space="preserve">Production Energy:</w:t>
      </w:r>
      <w:r>
        <w:t xml:space="preserve"> </w:t>
      </w:r>
      <w:r>
        <w:t xml:space="preserve">Renewable energy usage and energy intensity data were used for the manufacturing phase.</w:t>
      </w:r>
    </w:p>
    <w:p>
      <w:pPr>
        <w:numPr>
          <w:ilvl w:val="0"/>
          <w:numId w:val="1003"/>
        </w:numPr>
        <w:pStyle w:val="Compact"/>
      </w:pPr>
      <w:r>
        <w:rPr>
          <w:bCs/>
          <w:b/>
        </w:rPr>
        <w:t xml:space="preserve">Use Phase:</w:t>
      </w:r>
      <w:r>
        <w:t xml:space="preserve"> </w:t>
      </w:r>
      <w:r>
        <w:t xml:space="preserve">Product lifespan and energy consumption in use were integrated for use phase calculations.</w:t>
      </w:r>
    </w:p>
    <w:p>
      <w:pPr>
        <w:numPr>
          <w:ilvl w:val="0"/>
          <w:numId w:val="1003"/>
        </w:numPr>
        <w:pStyle w:val="Compact"/>
      </w:pPr>
      <w:r>
        <w:rPr>
          <w:bCs/>
          <w:b/>
        </w:rPr>
        <w:t xml:space="preserve">End-of-Life:</w:t>
      </w:r>
      <w:r>
        <w:t xml:space="preserve"> </w:t>
      </w:r>
      <w:r>
        <w:t xml:space="preserve">Recyclability percentage and the presence of circular/take-back programs were considered for EoL scenarios.</w:t>
      </w:r>
    </w:p>
    <w:p>
      <w:pPr>
        <w:numPr>
          <w:ilvl w:val="0"/>
          <w:numId w:val="1003"/>
        </w:numPr>
        <w:pStyle w:val="Compact"/>
      </w:pPr>
      <w:r>
        <w:rPr>
          <w:bCs/>
          <w:b/>
        </w:rPr>
        <w:t xml:space="preserve">Emission Factors:</w:t>
      </w:r>
      <w:r>
        <w:t xml:space="preserve"> </w:t>
      </w:r>
      <w:r>
        <w:t xml:space="preserve">Industry-standard emission factors were applied, drawing from typical values found in databases like Ecoinvent and DEFRA. It is important to note that specific database licenses are not used here; rather, representative values are applied for illustrative purposes.</w:t>
      </w:r>
    </w:p>
    <w:bookmarkStart w:id="24" w:name="X658a764f2c48928c310b014aa80ee66ad9e03d3"/>
    <w:p>
      <w:pPr>
        <w:pStyle w:val="Heading4"/>
      </w:pPr>
      <w:r>
        <w:t xml:space="preserve">Detailed Bill of Materials (BOM) Data for nduwmgeuum</w:t>
      </w:r>
    </w:p>
    <w:p>
      <w:pPr>
        <w:pStyle w:val="FirstParagraph"/>
      </w:pPr>
      <w:r>
        <w:t xml:space="preserve">The following table details the materials used in one functional unit of nduwmgeuum: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Recycled Aluminum Sheet</w:t>
            </w:r>
          </w:p>
        </w:tc>
        <w:tc>
          <w:tcPr/>
          <w:p>
            <w:pPr>
              <w:pStyle w:val="Compact"/>
              <w:jc w:val="left"/>
            </w:pPr>
            <w:r>
              <w:t xml:space="preserve">Metal</w:t>
            </w:r>
          </w:p>
        </w:tc>
        <w:tc>
          <w:tcPr/>
          <w:p>
            <w:pPr>
              <w:pStyle w:val="Compact"/>
              <w:jc w:val="left"/>
            </w:pPr>
            <w:r>
              <w:t xml:space="preserve">Material Production</w:t>
            </w:r>
          </w:p>
        </w:tc>
        <w:tc>
          <w:tcPr/>
          <w:p>
            <w:pPr>
              <w:pStyle w:val="Compact"/>
              <w:jc w:val="left"/>
            </w:pPr>
            <w:r>
              <w:t xml:space="preserve">2.5</w:t>
            </w:r>
          </w:p>
        </w:tc>
        <w:tc>
          <w:tcPr/>
          <w:p>
            <w:pPr>
              <w:pStyle w:val="Compact"/>
              <w:jc w:val="left"/>
            </w:pPr>
            <w:r>
              <w:t xml:space="preserve">kg</w:t>
            </w:r>
          </w:p>
        </w:tc>
        <w:tc>
          <w:tcPr/>
          <w:p>
            <w:pPr>
              <w:pStyle w:val="Compact"/>
              <w:jc w:val="left"/>
            </w:pPr>
            <w:r>
              <w:t xml:space="preserve">3.0</w:t>
            </w:r>
          </w:p>
        </w:tc>
        <w:tc>
          <w:tcPr/>
          <w:p>
            <w:pPr>
              <w:pStyle w:val="Compact"/>
              <w:jc w:val="left"/>
            </w:pPr>
            <w:r>
              <w:t xml:space="preserve">7.5</w:t>
            </w:r>
          </w:p>
        </w:tc>
      </w:tr>
      <w:tr>
        <w:tc>
          <w:tcPr/>
          <w:p>
            <w:pPr>
              <w:pStyle w:val="Compact"/>
              <w:jc w:val="left"/>
            </w:pPr>
            <w:r>
              <w:t xml:space="preserve">P001</w:t>
            </w:r>
          </w:p>
        </w:tc>
        <w:tc>
          <w:tcPr/>
          <w:p>
            <w:pPr>
              <w:pStyle w:val="Compact"/>
              <w:jc w:val="left"/>
            </w:pPr>
            <w:r>
              <w:t xml:space="preserve">ABS Plastic Granules (Virgin)</w:t>
            </w:r>
          </w:p>
        </w:tc>
        <w:tc>
          <w:tcPr/>
          <w:p>
            <w:pPr>
              <w:pStyle w:val="Compact"/>
              <w:jc w:val="left"/>
            </w:pPr>
            <w:r>
              <w:t xml:space="preserve">Plastic</w:t>
            </w:r>
          </w:p>
        </w:tc>
        <w:tc>
          <w:tcPr/>
          <w:p>
            <w:pPr>
              <w:pStyle w:val="Compact"/>
              <w:jc w:val="left"/>
            </w:pPr>
            <w:r>
              <w:t xml:space="preserve">Material Production</w:t>
            </w:r>
          </w:p>
        </w:tc>
        <w:tc>
          <w:tcPr/>
          <w:p>
            <w:pPr>
              <w:pStyle w:val="Compact"/>
              <w:jc w:val="left"/>
            </w:pPr>
            <w:r>
              <w:t xml:space="preserve">1.2</w:t>
            </w:r>
          </w:p>
        </w:tc>
        <w:tc>
          <w:tcPr/>
          <w:p>
            <w:pPr>
              <w:pStyle w:val="Compact"/>
              <w:jc w:val="left"/>
            </w:pPr>
            <w:r>
              <w:t xml:space="preserve">kg</w:t>
            </w:r>
          </w:p>
        </w:tc>
        <w:tc>
          <w:tcPr/>
          <w:p>
            <w:pPr>
              <w:pStyle w:val="Compact"/>
              <w:jc w:val="left"/>
            </w:pPr>
            <w:r>
              <w:t xml:space="preserve">4.5</w:t>
            </w:r>
          </w:p>
        </w:tc>
        <w:tc>
          <w:tcPr/>
          <w:p>
            <w:pPr>
              <w:pStyle w:val="Compact"/>
              <w:jc w:val="left"/>
            </w:pPr>
            <w:r>
              <w:t xml:space="preserve">5.4</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Material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Material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PK01</w:t>
            </w:r>
          </w:p>
        </w:tc>
        <w:tc>
          <w:tcPr/>
          <w:p>
            <w:pPr>
              <w:pStyle w:val="Compact"/>
              <w:jc w:val="left"/>
            </w:pPr>
            <w:r>
              <w:t xml:space="preserve">Corrugated Cardboard Packaging</w:t>
            </w:r>
          </w:p>
        </w:tc>
        <w:tc>
          <w:tcPr/>
          <w:p>
            <w:pPr>
              <w:pStyle w:val="Compact"/>
              <w:jc w:val="left"/>
            </w:pPr>
            <w:r>
              <w:t xml:space="preserve">Packaging</w:t>
            </w:r>
          </w:p>
        </w:tc>
        <w:tc>
          <w:tcPr/>
          <w:p>
            <w:pPr>
              <w:pStyle w:val="Compact"/>
              <w:jc w:val="left"/>
            </w:pPr>
            <w:r>
              <w:t xml:space="preserve">Material Production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0.96</w:t>
            </w:r>
          </w:p>
        </w:tc>
      </w:tr>
    </w:tbl>
    <w:p>
      <w:pPr>
        <w:pStyle w:val="BodyText"/>
      </w:pPr>
      <w:r>
        <w:t xml:space="preserve">Total Product Mass (excluding transport packaging): 4.85 kg.</w:t>
      </w:r>
    </w:p>
    <w:bookmarkEnd w:id="24"/>
    <w:bookmarkStart w:id="25" w:name="energy-inputs-production-phase"/>
    <w:p>
      <w:pPr>
        <w:pStyle w:val="Heading4"/>
      </w:pPr>
      <w:r>
        <w:t xml:space="preserve">Energy Inputs (Production Phase)</w:t>
      </w:r>
    </w:p>
    <w:p>
      <w:pPr>
        <w:numPr>
          <w:ilvl w:val="0"/>
          <w:numId w:val="1004"/>
        </w:numPr>
        <w:pStyle w:val="Compact"/>
      </w:pPr>
      <w:r>
        <w:t xml:space="preserve">Renewable Energy Usage: xlupeytsut = 75%</w:t>
      </w:r>
    </w:p>
    <w:p>
      <w:pPr>
        <w:numPr>
          <w:ilvl w:val="0"/>
          <w:numId w:val="1004"/>
        </w:numPr>
        <w:pStyle w:val="Compact"/>
      </w:pPr>
      <w:r>
        <w:t xml:space="preserve">Energy Intensity (kWh/unit): sfowwllyvf = 15 kWh/unit</w:t>
      </w:r>
    </w:p>
    <w:p>
      <w:pPr>
        <w:numPr>
          <w:ilvl w:val="0"/>
          <w:numId w:val="1004"/>
        </w:numPr>
        <w:pStyle w:val="Compact"/>
      </w:pPr>
      <w:r>
        <w:t xml:space="preserve">Assumed China Grid Electricity Emission Factor (non-renewable): 0.6 kg CO2e/kWh</w:t>
      </w:r>
    </w:p>
    <w:p>
      <w:pPr>
        <w:numPr>
          <w:ilvl w:val="0"/>
          <w:numId w:val="1004"/>
        </w:numPr>
        <w:pStyle w:val="Compact"/>
      </w:pPr>
      <w:r>
        <w:t xml:space="preserve">Assumed Renewable Electricity Emission Factor (residual): 0.02 kg CO2e/kWh</w:t>
      </w:r>
    </w:p>
    <w:bookmarkEnd w:id="25"/>
    <w:bookmarkStart w:id="26" w:name="logistics-data"/>
    <w:p>
      <w:pPr>
        <w:pStyle w:val="Heading4"/>
      </w:pPr>
      <w:r>
        <w:t xml:space="preserve">Logistics Data</w:t>
      </w:r>
    </w:p>
    <w:p>
      <w:pPr>
        <w:numPr>
          <w:ilvl w:val="0"/>
          <w:numId w:val="1005"/>
        </w:numPr>
        <w:pStyle w:val="Compact"/>
      </w:pPr>
      <w:r>
        <w:t xml:space="preserve">Transport Mode (Inbound Materials): Road Freight (Heavy Duty Truck)</w:t>
      </w:r>
    </w:p>
    <w:p>
      <w:pPr>
        <w:numPr>
          <w:ilvl w:val="0"/>
          <w:numId w:val="1005"/>
        </w:numPr>
        <w:pStyle w:val="Compact"/>
      </w:pPr>
      <w:r>
        <w:t xml:space="preserve">Transport Distance (Inbound Materials - assumed average): 1500 km</w:t>
      </w:r>
    </w:p>
    <w:p>
      <w:pPr>
        <w:numPr>
          <w:ilvl w:val="0"/>
          <w:numId w:val="1005"/>
        </w:numPr>
        <w:pStyle w:val="Compact"/>
      </w:pPr>
      <w:r>
        <w:t xml:space="preserve">Transport Mode (Outbound Finished Goods - Factory to Europe Distribution Center): Ocean Freight, followed by Road Freight.</w:t>
      </w:r>
    </w:p>
    <w:p>
      <w:pPr>
        <w:numPr>
          <w:ilvl w:val="0"/>
          <w:numId w:val="1005"/>
        </w:numPr>
        <w:pStyle w:val="Compact"/>
      </w:pPr>
      <w:r>
        <w:t xml:space="preserve">Transport Distance (Ocean Freight): 8000 km</w:t>
      </w:r>
    </w:p>
    <w:p>
      <w:pPr>
        <w:numPr>
          <w:ilvl w:val="0"/>
          <w:numId w:val="1005"/>
        </w:numPr>
        <w:pStyle w:val="Compact"/>
      </w:pPr>
      <w:r>
        <w:t xml:space="preserve">Transport Distance (Road Freight, Europe): 500 km</w:t>
      </w:r>
    </w:p>
    <w:p>
      <w:pPr>
        <w:numPr>
          <w:ilvl w:val="0"/>
          <w:numId w:val="1005"/>
        </w:numPr>
        <w:pStyle w:val="Compact"/>
      </w:pPr>
      <w:r>
        <w:t xml:space="preserve">Last-Mile Delivery Channel: Parcel Service (Van)</w:t>
      </w:r>
    </w:p>
    <w:p>
      <w:pPr>
        <w:numPr>
          <w:ilvl w:val="0"/>
          <w:numId w:val="1005"/>
        </w:numPr>
        <w:pStyle w:val="Compact"/>
      </w:pPr>
      <w:r>
        <w:t xml:space="preserve">Last-Mile Delivery Distance: 200 km</w:t>
      </w:r>
    </w:p>
    <w:p>
      <w:pPr>
        <w:numPr>
          <w:ilvl w:val="0"/>
          <w:numId w:val="1005"/>
        </w:numPr>
        <w:pStyle w:val="Compact"/>
      </w:pPr>
      <w:r>
        <w:t xml:space="preserve">Assumed Road Freight EF: 0.08 kg CO2e/tonne-km</w:t>
      </w:r>
    </w:p>
    <w:p>
      <w:pPr>
        <w:numPr>
          <w:ilvl w:val="0"/>
          <w:numId w:val="1005"/>
        </w:numPr>
        <w:pStyle w:val="Compact"/>
      </w:pPr>
      <w:r>
        <w:t xml:space="preserve">Assumed Ocean Freight EF: 0.01 kg CO2e/tonne-km</w:t>
      </w:r>
    </w:p>
    <w:p>
      <w:pPr>
        <w:numPr>
          <w:ilvl w:val="0"/>
          <w:numId w:val="1005"/>
        </w:numPr>
        <w:pStyle w:val="Compact"/>
      </w:pPr>
      <w:r>
        <w:t xml:space="preserve">Assumed Parcel Service (Van) EF: 0.25 kg CO2e/tonne-km</w:t>
      </w:r>
    </w:p>
    <w:bookmarkEnd w:id="26"/>
    <w:bookmarkStart w:id="27" w:name="use-phase-data"/>
    <w:p>
      <w:pPr>
        <w:pStyle w:val="Heading4"/>
      </w:pPr>
      <w:r>
        <w:t xml:space="preserve">Use Phase Data</w:t>
      </w:r>
    </w:p>
    <w:p>
      <w:pPr>
        <w:numPr>
          <w:ilvl w:val="0"/>
          <w:numId w:val="1006"/>
        </w:numPr>
        <w:pStyle w:val="Compact"/>
      </w:pPr>
      <w:r>
        <w:t xml:space="preserve">Product Lifespan: kkqxpexffw = 5 years</w:t>
      </w:r>
    </w:p>
    <w:p>
      <w:pPr>
        <w:numPr>
          <w:ilvl w:val="0"/>
          <w:numId w:val="1006"/>
        </w:numPr>
        <w:pStyle w:val="Compact"/>
      </w:pPr>
      <w:r>
        <w:t xml:space="preserve">Energy Consumption in Use: mzwjpqkkuv = 20 kWh/year</w:t>
      </w:r>
    </w:p>
    <w:bookmarkEnd w:id="27"/>
    <w:bookmarkStart w:id="28" w:name="end-of-life-eol-scenarios"/>
    <w:p>
      <w:pPr>
        <w:pStyle w:val="Heading4"/>
      </w:pPr>
      <w:r>
        <w:t xml:space="preserve">End-of-Life (EoL) Scenarios</w:t>
      </w:r>
    </w:p>
    <w:p>
      <w:pPr>
        <w:numPr>
          <w:ilvl w:val="0"/>
          <w:numId w:val="1007"/>
        </w:numPr>
        <w:pStyle w:val="Compact"/>
      </w:pPr>
      <w:r>
        <w:t xml:space="preserve">Recyclability Percentage: dxhnvmqxxt = 80%</w:t>
      </w:r>
    </w:p>
    <w:p>
      <w:pPr>
        <w:numPr>
          <w:ilvl w:val="0"/>
          <w:numId w:val="1007"/>
        </w:numPr>
        <w:pStyle w:val="Compact"/>
      </w:pPr>
      <w:r>
        <w:t xml:space="preserve">Circular/Take-back Programs: wqspujssls = Implemented (implies the 80% recyclability target is achieved or facilitated).</w:t>
      </w:r>
    </w:p>
    <w:p>
      <w:pPr>
        <w:numPr>
          <w:ilvl w:val="0"/>
          <w:numId w:val="1007"/>
        </w:numPr>
        <w:pStyle w:val="Compact"/>
      </w:pPr>
      <w:r>
        <w:t xml:space="preserve">Assumed End-of-Life Treatment EF (Landfill/Incineration for non-recycled portion): 0.1 kg CO2e/kg</w:t>
      </w:r>
    </w:p>
    <w:p>
      <w:pPr>
        <w:numPr>
          <w:ilvl w:val="0"/>
          <w:numId w:val="1007"/>
        </w:numPr>
        <w:pStyle w:val="Compact"/>
      </w:pPr>
      <w:r>
        <w:t xml:space="preserve">Assumed Recycling Benefit Factor (avoided emissions for recycled materials): -1.5 kg CO2e/kg (simplified credit for displacing virgin material production)</w:t>
      </w:r>
    </w:p>
    <w:p>
      <w:r>
        <w:pict>
          <v:rect style="width:0;height:1.5pt" o:hralign="center" o:hrstd="t" o:hr="t"/>
        </w:pict>
      </w:r>
    </w:p>
    <w:bookmarkEnd w:id="28"/>
    <w:bookmarkEnd w:id="29"/>
    <w:bookmarkEnd w:id="30"/>
    <w:bookmarkStart w:id="43" w:name="X2c62247db19834934c44c209ad423fe06ba5c64"/>
    <w:p>
      <w:pPr>
        <w:pStyle w:val="Heading2"/>
      </w:pPr>
      <w:r>
        <w:t xml:space="preserve">2. Calculation of Emissions (Activity * Emission Factor = CO2e)</w:t>
      </w:r>
    </w:p>
    <w:p>
      <w:pPr>
        <w:pStyle w:val="FirstParagraph"/>
      </w:pPr>
      <w:r>
        <w:t xml:space="preserve">Emissions are calculated for each life cycle stage and categorized according to GHG Protocol Scope 1, Scope 2, and Scope 3 definitions.</w:t>
      </w:r>
    </w:p>
    <w:bookmarkStart w:id="31" w:name="X158f9169ae98359878a40285fc7a6e4c2e93951"/>
    <w:p>
      <w:pPr>
        <w:pStyle w:val="Heading3"/>
      </w:pPr>
      <w:r>
        <w:t xml:space="preserve">2.1. Raw Material Acquisition &amp; Pre-processing (Scope 3 - Category 1: Purchased Goods and Services)</w:t>
      </w:r>
    </w:p>
    <w:p>
      <w:pPr>
        <w:pStyle w:val="FirstParagraph"/>
      </w:pPr>
      <w:r>
        <w:t xml:space="preserve">Emissions from the production of materials based on the BOM:</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 ID</w:t>
            </w:r>
          </w:p>
        </w:tc>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Emissions (kgCO2e)</w:t>
            </w:r>
          </w:p>
        </w:tc>
      </w:tr>
      <w:tr>
        <w:tc>
          <w:tcPr/>
          <w:p>
            <w:pPr>
              <w:pStyle w:val="Compact"/>
              <w:jc w:val="left"/>
            </w:pPr>
            <w:r>
              <w:t xml:space="preserve">M001</w:t>
            </w:r>
          </w:p>
        </w:tc>
        <w:tc>
          <w:tcPr/>
          <w:p>
            <w:pPr>
              <w:pStyle w:val="Compact"/>
              <w:jc w:val="left"/>
            </w:pPr>
            <w:r>
              <w:t xml:space="preserve">Recycled Aluminum Sheet</w:t>
            </w:r>
          </w:p>
        </w:tc>
        <w:tc>
          <w:tcPr/>
          <w:p>
            <w:pPr>
              <w:pStyle w:val="Compact"/>
              <w:jc w:val="left"/>
            </w:pPr>
            <w:r>
              <w:t xml:space="preserve">2.5</w:t>
            </w:r>
          </w:p>
        </w:tc>
        <w:tc>
          <w:tcPr/>
          <w:p>
            <w:pPr>
              <w:pStyle w:val="Compact"/>
              <w:jc w:val="left"/>
            </w:pPr>
            <w:r>
              <w:t xml:space="preserve">3.0</w:t>
            </w:r>
          </w:p>
        </w:tc>
        <w:tc>
          <w:tcPr/>
          <w:p>
            <w:pPr>
              <w:pStyle w:val="Compact"/>
              <w:jc w:val="left"/>
            </w:pPr>
            <w:r>
              <w:t xml:space="preserve">7.50</w:t>
            </w:r>
          </w:p>
        </w:tc>
      </w:tr>
      <w:tr>
        <w:tc>
          <w:tcPr/>
          <w:p>
            <w:pPr>
              <w:pStyle w:val="Compact"/>
              <w:jc w:val="left"/>
            </w:pPr>
            <w:r>
              <w:t xml:space="preserve">P001</w:t>
            </w:r>
          </w:p>
        </w:tc>
        <w:tc>
          <w:tcPr/>
          <w:p>
            <w:pPr>
              <w:pStyle w:val="Compact"/>
              <w:jc w:val="left"/>
            </w:pPr>
            <w:r>
              <w:t xml:space="preserve">ABS Plastic Granules (Virgin)</w:t>
            </w:r>
          </w:p>
        </w:tc>
        <w:tc>
          <w:tcPr/>
          <w:p>
            <w:pPr>
              <w:pStyle w:val="Compact"/>
              <w:jc w:val="left"/>
            </w:pPr>
            <w:r>
              <w:t xml:space="preserve">1.2</w:t>
            </w:r>
          </w:p>
        </w:tc>
        <w:tc>
          <w:tcPr/>
          <w:p>
            <w:pPr>
              <w:pStyle w:val="Compact"/>
              <w:jc w:val="left"/>
            </w:pPr>
            <w:r>
              <w:t xml:space="preserve">4.5</w:t>
            </w:r>
          </w:p>
        </w:tc>
        <w:tc>
          <w:tcPr/>
          <w:p>
            <w:pPr>
              <w:pStyle w:val="Compact"/>
              <w:jc w:val="left"/>
            </w:pPr>
            <w:r>
              <w:t xml:space="preserve">5.40</w:t>
            </w:r>
          </w:p>
        </w:tc>
      </w:tr>
      <w:tr>
        <w:tc>
          <w:tcPr/>
          <w:p>
            <w:pPr>
              <w:pStyle w:val="Compact"/>
              <w:jc w:val="left"/>
            </w:pPr>
            <w:r>
              <w:t xml:space="preserve">C001</w:t>
            </w:r>
          </w:p>
        </w:tc>
        <w:tc>
          <w:tcPr/>
          <w:p>
            <w:pPr>
              <w:pStyle w:val="Compact"/>
              <w:jc w:val="left"/>
            </w:pPr>
            <w:r>
              <w:t xml:space="preserve">Copper Wire</w:t>
            </w:r>
          </w:p>
        </w:tc>
        <w:tc>
          <w:tcPr/>
          <w:p>
            <w:pPr>
              <w:pStyle w:val="Compact"/>
              <w:jc w:val="left"/>
            </w:pPr>
            <w:r>
              <w:t xml:space="preserve">0.3</w:t>
            </w:r>
          </w:p>
        </w:tc>
        <w:tc>
          <w:tcPr/>
          <w:p>
            <w:pPr>
              <w:pStyle w:val="Compact"/>
              <w:jc w:val="left"/>
            </w:pPr>
            <w:r>
              <w:t xml:space="preserve">6.0</w:t>
            </w:r>
          </w:p>
        </w:tc>
        <w:tc>
          <w:tcPr/>
          <w:p>
            <w:pPr>
              <w:pStyle w:val="Compact"/>
              <w:jc w:val="left"/>
            </w:pPr>
            <w:r>
              <w:t xml:space="preserve">1.80</w:t>
            </w:r>
          </w:p>
        </w:tc>
      </w:tr>
      <w:tr>
        <w:tc>
          <w:tcPr/>
          <w:p>
            <w:pPr>
              <w:pStyle w:val="Compact"/>
              <w:jc w:val="left"/>
            </w:pPr>
            <w:r>
              <w:t xml:space="preserve">S001</w:t>
            </w:r>
          </w:p>
        </w:tc>
        <w:tc>
          <w:tcPr/>
          <w:p>
            <w:pPr>
              <w:pStyle w:val="Compact"/>
              <w:jc w:val="left"/>
            </w:pPr>
            <w:r>
              <w:t xml:space="preserve">Silicon Chip</w:t>
            </w:r>
          </w:p>
        </w:tc>
        <w:tc>
          <w:tcPr/>
          <w:p>
            <w:pPr>
              <w:pStyle w:val="Compact"/>
              <w:jc w:val="left"/>
            </w:pPr>
            <w:r>
              <w:t xml:space="preserve">0.05</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PK01</w:t>
            </w:r>
          </w:p>
        </w:tc>
        <w:tc>
          <w:tcPr/>
          <w:p>
            <w:pPr>
              <w:pStyle w:val="Compact"/>
              <w:jc w:val="left"/>
            </w:pPr>
            <w:r>
              <w:t xml:space="preserve">Corrugated Cardboard Packaging</w:t>
            </w:r>
          </w:p>
        </w:tc>
        <w:tc>
          <w:tcPr/>
          <w:p>
            <w:pPr>
              <w:pStyle w:val="Compact"/>
              <w:jc w:val="left"/>
            </w:pPr>
            <w:r>
              <w:t xml:space="preserve">0.8</w:t>
            </w:r>
          </w:p>
        </w:tc>
        <w:tc>
          <w:tcPr/>
          <w:p>
            <w:pPr>
              <w:pStyle w:val="Compact"/>
              <w:jc w:val="left"/>
            </w:pPr>
            <w:r>
              <w:t xml:space="preserve">1.2</w:t>
            </w:r>
          </w:p>
        </w:tc>
        <w:tc>
          <w:tcPr/>
          <w:p>
            <w:pPr>
              <w:pStyle w:val="Compact"/>
              <w:jc w:val="left"/>
            </w:pPr>
            <w:r>
              <w:t xml:space="preserve">0.96</w:t>
            </w:r>
          </w:p>
        </w:tc>
      </w:tr>
      <w:tr>
        <w:tc>
          <w:tcPr>
            <w:gridSpan w:val="4"/>
          </w:tcPr>
          <w:p>
            <w:pPr>
              <w:pStyle w:val="Compact"/>
              <w:jc w:val="left"/>
            </w:pPr>
            <w:r>
              <w:rPr>
                <w:bCs/>
                <w:b/>
              </w:rPr>
              <w:t xml:space="preserve">Subtotal Raw Materials Emissions</w:t>
            </w:r>
          </w:p>
        </w:tc>
        <w:tc>
          <w:tcPr/>
          <w:p>
            <w:pPr>
              <w:pStyle w:val="Compact"/>
              <w:jc w:val="left"/>
            </w:pPr>
            <w:r>
              <w:rPr>
                <w:bCs/>
                <w:b/>
              </w:rPr>
              <w:t xml:space="preserve">28.16 kgCO2e</w:t>
            </w:r>
          </w:p>
        </w:tc>
      </w:tr>
    </w:tbl>
    <w:bookmarkEnd w:id="31"/>
    <w:bookmarkStart w:id="34" w:name="manufacturing-factory-gate---china"/>
    <w:p>
      <w:pPr>
        <w:pStyle w:val="Heading3"/>
      </w:pPr>
      <w:r>
        <w:t xml:space="preserve">2.2. Manufacturing (Factory Gate - China)</w:t>
      </w:r>
    </w:p>
    <w:p>
      <w:pPr>
        <w:pStyle w:val="FirstParagraph"/>
      </w:pPr>
      <w:r>
        <w:t xml:space="preserve">Total energy consumption: 15 kWh/unit.</w:t>
      </w:r>
    </w:p>
    <w:p>
      <w:pPr>
        <w:numPr>
          <w:ilvl w:val="0"/>
          <w:numId w:val="1008"/>
        </w:numPr>
        <w:pStyle w:val="Compact"/>
      </w:pPr>
      <w:r>
        <w:t xml:space="preserve">Renewable energy: 15 kWh * 75% = 11.25 kWh</w:t>
      </w:r>
    </w:p>
    <w:p>
      <w:pPr>
        <w:numPr>
          <w:ilvl w:val="0"/>
          <w:numId w:val="1008"/>
        </w:numPr>
        <w:pStyle w:val="Compact"/>
      </w:pPr>
      <w:r>
        <w:t xml:space="preserve">Non-renewable energy: 15 kWh * 25% = 3.75 kWh</w:t>
      </w:r>
    </w:p>
    <w:bookmarkStart w:id="32" w:name="scope-2-purchased-electricity"/>
    <w:p>
      <w:pPr>
        <w:pStyle w:val="Heading4"/>
      </w:pPr>
      <w:r>
        <w:t xml:space="preserve">Scope 2: Purchased Electricity</w:t>
      </w:r>
    </w:p>
    <w:p>
      <w:pPr>
        <w:numPr>
          <w:ilvl w:val="0"/>
          <w:numId w:val="1009"/>
        </w:numPr>
        <w:pStyle w:val="Compact"/>
      </w:pPr>
      <w:r>
        <w:t xml:space="preserve">Renewable electricity emissions: 11.25 kWh * 0.02 kgCO2e/kWh = 0.225 kgCO2e</w:t>
      </w:r>
    </w:p>
    <w:p>
      <w:pPr>
        <w:numPr>
          <w:ilvl w:val="0"/>
          <w:numId w:val="1009"/>
        </w:numPr>
        <w:pStyle w:val="Compact"/>
      </w:pPr>
      <w:r>
        <w:t xml:space="preserve">Non-renewable electricity emissions: 3.75 kWh * 0.6 kgCO2e/kWh = 2.25 kgCO2e</w:t>
      </w:r>
    </w:p>
    <w:p>
      <w:pPr>
        <w:numPr>
          <w:ilvl w:val="0"/>
          <w:numId w:val="1009"/>
        </w:numPr>
        <w:pStyle w:val="Compact"/>
      </w:pPr>
      <w:r>
        <w:rPr>
          <w:bCs/>
          <w:b/>
        </w:rPr>
        <w:t xml:space="preserve">Total Scope 2 Emissions: 2.475 kgCO2e</w:t>
      </w:r>
    </w:p>
    <w:bookmarkEnd w:id="32"/>
    <w:bookmarkStart w:id="33" w:name="scope-1-direct-emissions"/>
    <w:p>
      <w:pPr>
        <w:pStyle w:val="Heading4"/>
      </w:pPr>
      <w:r>
        <w:t xml:space="preserve">Scope 1: Direct Emissions</w:t>
      </w:r>
    </w:p>
    <w:p>
      <w:pPr>
        <w:pStyle w:val="FirstParagraph"/>
      </w:pPr>
      <w:r>
        <w:t xml:space="preserve">Assuming manufacturing processes primarily rely on purchased electricity, direct fuel combustion (Scope 1) at the factory for this product is considered negligible or zero for this analysis unless specified. If there were direct process emissions (e.g., from chemical reactions not covered by energy use) they would be included here. Given the provided parameters, Scope 1 emissions for manufacturing are</w:t>
      </w:r>
      <w:r>
        <w:t xml:space="preserve"> </w:t>
      </w:r>
      <w:r>
        <w:rPr>
          <w:bCs/>
          <w:b/>
        </w:rPr>
        <w:t xml:space="preserve">0.00 kgCO2e</w:t>
      </w:r>
      <w:r>
        <w:t xml:space="preserve"> </w:t>
      </w:r>
      <w:r>
        <w:t xml:space="preserve">for this report\'s calculation.</w:t>
      </w:r>
    </w:p>
    <w:bookmarkEnd w:id="33"/>
    <w:bookmarkEnd w:id="34"/>
    <w:bookmarkStart w:id="38" w:name="Xcf90aec9e93b788a185e3b94f2ec5179bb4e44e"/>
    <w:p>
      <w:pPr>
        <w:pStyle w:val="Heading3"/>
      </w:pPr>
      <w:r>
        <w:t xml:space="preserve">2.3. Transport (Scope 3 - Category 4: Upstream Transportation &amp; Distribution; Category 9: Downstream Transportation &amp; Distribution)</w:t>
      </w:r>
    </w:p>
    <w:p>
      <w:pPr>
        <w:pStyle w:val="FirstParagraph"/>
      </w:pPr>
      <w:r>
        <w:t xml:space="preserve">Product mass for transport (including packaging): 4.85 kg (approx 0.00485 tonnes).</w:t>
      </w:r>
    </w:p>
    <w:bookmarkStart w:id="35" w:name="inbound-materials-upstream"/>
    <w:p>
      <w:pPr>
        <w:pStyle w:val="Heading4"/>
      </w:pPr>
      <w:r>
        <w:t xml:space="preserve">Inbound Materials (Upstream)</w:t>
      </w:r>
    </w:p>
    <w:p>
      <w:pPr>
        <w:numPr>
          <w:ilvl w:val="0"/>
          <w:numId w:val="1010"/>
        </w:numPr>
        <w:pStyle w:val="Compact"/>
      </w:pPr>
      <w:r>
        <w:t xml:space="preserve">Mode: Road Freight (Heavy Duty Truck)</w:t>
      </w:r>
    </w:p>
    <w:p>
      <w:pPr>
        <w:numPr>
          <w:ilvl w:val="0"/>
          <w:numId w:val="1010"/>
        </w:numPr>
        <w:pStyle w:val="Compact"/>
      </w:pPr>
      <w:r>
        <w:t xml:space="preserve">Distance: 1500 km</w:t>
      </w:r>
    </w:p>
    <w:p>
      <w:pPr>
        <w:numPr>
          <w:ilvl w:val="0"/>
          <w:numId w:val="1010"/>
        </w:numPr>
        <w:pStyle w:val="Compact"/>
      </w:pPr>
      <w:r>
        <w:t xml:space="preserve">Emissions: 0.00485 tonnes * 1500 km * 0.08 kg CO2e/tonne-km = 0.582 kgCO2e</w:t>
      </w:r>
    </w:p>
    <w:bookmarkEnd w:id="35"/>
    <w:bookmarkStart w:id="36" w:name="Xb2a8d93f7a5aa268e7bd89233480464d38131b6"/>
    <w:p>
      <w:pPr>
        <w:pStyle w:val="Heading4"/>
      </w:pPr>
      <w:r>
        <w:t xml:space="preserve">Outbound Finished Goods (Factory to Europe Distribution Center)</w:t>
      </w:r>
    </w:p>
    <w:p>
      <w:pPr>
        <w:numPr>
          <w:ilvl w:val="0"/>
          <w:numId w:val="1011"/>
        </w:numPr>
        <w:pStyle w:val="Compact"/>
      </w:pPr>
      <w:r>
        <w:t xml:space="preserve">Mode: Ocean Freight</w:t>
      </w:r>
    </w:p>
    <w:p>
      <w:pPr>
        <w:numPr>
          <w:ilvl w:val="0"/>
          <w:numId w:val="1011"/>
        </w:numPr>
        <w:pStyle w:val="Compact"/>
      </w:pPr>
      <w:r>
        <w:t xml:space="preserve">Distance: 8000 km</w:t>
      </w:r>
    </w:p>
    <w:p>
      <w:pPr>
        <w:numPr>
          <w:ilvl w:val="0"/>
          <w:numId w:val="1011"/>
        </w:numPr>
        <w:pStyle w:val="Compact"/>
      </w:pPr>
      <w:r>
        <w:t xml:space="preserve">Emissions: 0.00485 tonnes * 8000 km * 0.01 kg CO2e/tonne-km = 0.388 kgCO2e</w:t>
      </w:r>
    </w:p>
    <w:p>
      <w:pPr>
        <w:numPr>
          <w:ilvl w:val="0"/>
          <w:numId w:val="1012"/>
        </w:numPr>
        <w:pStyle w:val="Compact"/>
      </w:pPr>
      <w:r>
        <w:t xml:space="preserve">Mode: Road Freight (Europe, Distribution Center to Regional Hub)</w:t>
      </w:r>
    </w:p>
    <w:p>
      <w:pPr>
        <w:numPr>
          <w:ilvl w:val="0"/>
          <w:numId w:val="1012"/>
        </w:numPr>
        <w:pStyle w:val="Compact"/>
      </w:pPr>
      <w:r>
        <w:t xml:space="preserve">Distance: 500 km</w:t>
      </w:r>
    </w:p>
    <w:p>
      <w:pPr>
        <w:numPr>
          <w:ilvl w:val="0"/>
          <w:numId w:val="1012"/>
        </w:numPr>
        <w:pStyle w:val="Compact"/>
      </w:pPr>
      <w:r>
        <w:t xml:space="preserve">Emissions: 0.00485 tonnes * 500 km * 0.08 kg CO2e/tonne-km = 0.194 kgCO2e</w:t>
      </w:r>
    </w:p>
    <w:bookmarkEnd w:id="36"/>
    <w:bookmarkStart w:id="37" w:name="last-mile-delivery-downstream"/>
    <w:p>
      <w:pPr>
        <w:pStyle w:val="Heading4"/>
      </w:pPr>
      <w:r>
        <w:t xml:space="preserve">Last-Mile Delivery (Downstream)</w:t>
      </w:r>
    </w:p>
    <w:p>
      <w:pPr>
        <w:numPr>
          <w:ilvl w:val="0"/>
          <w:numId w:val="1013"/>
        </w:numPr>
        <w:pStyle w:val="Compact"/>
      </w:pPr>
      <w:r>
        <w:t xml:space="preserve">Mode: Parcel Service (Van)</w:t>
      </w:r>
    </w:p>
    <w:p>
      <w:pPr>
        <w:numPr>
          <w:ilvl w:val="0"/>
          <w:numId w:val="1013"/>
        </w:numPr>
        <w:pStyle w:val="Compact"/>
      </w:pPr>
      <w:r>
        <w:t xml:space="preserve">Distance: 200 km</w:t>
      </w:r>
    </w:p>
    <w:p>
      <w:pPr>
        <w:numPr>
          <w:ilvl w:val="0"/>
          <w:numId w:val="1013"/>
        </w:numPr>
        <w:pStyle w:val="Compact"/>
      </w:pPr>
      <w:r>
        <w:t xml:space="preserve">Emissions: 0.00485 tonnes * 200 km * 0.25 kg CO2e/tonne-km = 0.2425 kgCO2e</w:t>
      </w:r>
    </w:p>
    <w:p>
      <w:pPr>
        <w:pStyle w:val="FirstParagraph"/>
      </w:pPr>
      <w:r>
        <w:rPr>
          <w:bCs/>
          <w:b/>
        </w:rPr>
        <w:t xml:space="preserve">Total Transport Emissions: 0.582 + 0.388 + 0.194 + 0.2425 = 1.4065 kgCO2e</w:t>
      </w:r>
    </w:p>
    <w:bookmarkEnd w:id="37"/>
    <w:bookmarkEnd w:id="38"/>
    <w:bookmarkStart w:id="39" w:name="X687445901a9235e23446a36286990b6b14efa53"/>
    <w:p>
      <w:pPr>
        <w:pStyle w:val="Heading3"/>
      </w:pPr>
      <w:r>
        <w:t xml:space="preserve">2.4. Use Phase (Scope 3 - Category 11: Use of Sold Products)</w:t>
      </w:r>
    </w:p>
    <w:p>
      <w:pPr>
        <w:numPr>
          <w:ilvl w:val="0"/>
          <w:numId w:val="1014"/>
        </w:numPr>
        <w:pStyle w:val="Compact"/>
      </w:pPr>
      <w:r>
        <w:t xml:space="preserve">Product Lifespan: 5 years</w:t>
      </w:r>
    </w:p>
    <w:p>
      <w:pPr>
        <w:numPr>
          <w:ilvl w:val="0"/>
          <w:numId w:val="1014"/>
        </w:numPr>
        <w:pStyle w:val="Compact"/>
      </w:pPr>
      <w:r>
        <w:t xml:space="preserve">Energy Consumption: 20 kWh/year</w:t>
      </w:r>
    </w:p>
    <w:p>
      <w:pPr>
        <w:numPr>
          <w:ilvl w:val="0"/>
          <w:numId w:val="1014"/>
        </w:numPr>
        <w:pStyle w:val="Compact"/>
      </w:pPr>
      <w:r>
        <w:t xml:space="preserve">Total Use Phase Energy: 20 kWh/year * 5 years = 100 kWh</w:t>
      </w:r>
    </w:p>
    <w:p>
      <w:pPr>
        <w:numPr>
          <w:ilvl w:val="0"/>
          <w:numId w:val="1014"/>
        </w:numPr>
        <w:pStyle w:val="Compact"/>
      </w:pPr>
      <w:r>
        <w:t xml:space="preserve">Assumed Electricity Mix for Use Phase (average Europe mix): 0.25 kg CO2e/kWh (as supply chain focus is Europe, and product is used there).</w:t>
      </w:r>
    </w:p>
    <w:p>
      <w:pPr>
        <w:numPr>
          <w:ilvl w:val="0"/>
          <w:numId w:val="1014"/>
        </w:numPr>
        <w:pStyle w:val="Compact"/>
      </w:pPr>
      <w:r>
        <w:t xml:space="preserve">Emissions: 100 kWh * 0.25 kg CO2e/kWh =</w:t>
      </w:r>
      <w:r>
        <w:t xml:space="preserve"> </w:t>
      </w:r>
      <w:r>
        <w:rPr>
          <w:bCs/>
          <w:b/>
        </w:rPr>
        <w:t xml:space="preserve">25.00 kgCO2e</w:t>
      </w:r>
    </w:p>
    <w:bookmarkEnd w:id="39"/>
    <w:bookmarkStart w:id="40" w:name="X771af2267ebd1370d4d978f60d6a0e9044c8834"/>
    <w:p>
      <w:pPr>
        <w:pStyle w:val="Heading3"/>
      </w:pPr>
      <w:r>
        <w:t xml:space="preserve">2.5. End-of-Life (EoL) (Scope 3 - Category 12: End-of-Life Treatment of Sold Products)</w:t>
      </w:r>
    </w:p>
    <w:p>
      <w:pPr>
        <w:numPr>
          <w:ilvl w:val="0"/>
          <w:numId w:val="1015"/>
        </w:numPr>
        <w:pStyle w:val="Compact"/>
      </w:pPr>
      <w:r>
        <w:t xml:space="preserve">Total product mass (for EoL): 4.85 kg</w:t>
      </w:r>
    </w:p>
    <w:p>
      <w:pPr>
        <w:numPr>
          <w:ilvl w:val="0"/>
          <w:numId w:val="1015"/>
        </w:numPr>
        <w:pStyle w:val="Compact"/>
      </w:pPr>
      <w:r>
        <w:t xml:space="preserve">Recyclability Percentage: 80%</w:t>
      </w:r>
    </w:p>
    <w:p>
      <w:pPr>
        <w:numPr>
          <w:ilvl w:val="0"/>
          <w:numId w:val="1015"/>
        </w:numPr>
        <w:pStyle w:val="Compact"/>
      </w:pPr>
      <w:r>
        <w:t xml:space="preserve">Mass recycled: 4.85 kg * 80% = 3.88 kg</w:t>
      </w:r>
    </w:p>
    <w:p>
      <w:pPr>
        <w:numPr>
          <w:ilvl w:val="0"/>
          <w:numId w:val="1015"/>
        </w:numPr>
        <w:pStyle w:val="Compact"/>
      </w:pPr>
      <w:r>
        <w:t xml:space="preserve">Mass to landfill/incineration: 4.85 kg * 20% = 0.97 kg</w:t>
      </w:r>
    </w:p>
    <w:p>
      <w:pPr>
        <w:numPr>
          <w:ilvl w:val="0"/>
          <w:numId w:val="1015"/>
        </w:numPr>
        <w:pStyle w:val="Compact"/>
      </w:pPr>
      <w:r>
        <w:t xml:space="preserve">Emissions from landfill/incineration: 0.97 kg * 0.1 kg CO2e/kg = 0.097 kgCO2e</w:t>
      </w:r>
    </w:p>
    <w:p>
      <w:pPr>
        <w:numPr>
          <w:ilvl w:val="0"/>
          <w:numId w:val="1015"/>
        </w:numPr>
        <w:pStyle w:val="Compact"/>
      </w:pPr>
      <w:r>
        <w:t xml:space="preserve">Recycling benefits/avoided emissions: 3.88 kg * (-1.5 kg CO2e/kg) = -5.82 kgCO2e (This is a simplified credit and can vary greatly by material and actual displaced production)</w:t>
      </w:r>
    </w:p>
    <w:p>
      <w:pPr>
        <w:pStyle w:val="FirstParagraph"/>
      </w:pPr>
      <w:r>
        <w:rPr>
          <w:bCs/>
          <w:b/>
        </w:rPr>
        <w:t xml:space="preserve">Total End-of-Life Emissions: 0.097 - 5.82 = -5.723 kgCO2e</w:t>
      </w:r>
    </w:p>
    <w:bookmarkEnd w:id="40"/>
    <w:bookmarkStart w:id="41" w:name="X39e4020c1520d7e6fbafb4ab819ac3a24fa44fd"/>
    <w:p>
      <w:pPr>
        <w:pStyle w:val="Heading3"/>
      </w:pPr>
      <w:r>
        <w:t xml:space="preserve">2.6. Summary of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28.16</w:t>
            </w:r>
          </w:p>
        </w:tc>
        <w:tc>
          <w:tcPr/>
          <w:p>
            <w:pPr>
              <w:pStyle w:val="Compact"/>
              <w:jc w:val="left"/>
            </w:pPr>
            <w:r>
              <w:t xml:space="preserve">47.5%</w:t>
            </w:r>
          </w:p>
        </w:tc>
      </w:tr>
      <w:tr>
        <w:tc>
          <w:tcPr/>
          <w:p>
            <w:pPr>
              <w:pStyle w:val="Compact"/>
              <w:jc w:val="left"/>
            </w:pPr>
            <w:r>
              <w:t xml:space="preserve">Manufacturing (Scope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Manufacturing (Scope 2)</w:t>
            </w:r>
          </w:p>
        </w:tc>
        <w:tc>
          <w:tcPr/>
          <w:p>
            <w:pPr>
              <w:pStyle w:val="Compact"/>
              <w:jc w:val="left"/>
            </w:pPr>
            <w:r>
              <w:t xml:space="preserve">2.48</w:t>
            </w:r>
          </w:p>
        </w:tc>
        <w:tc>
          <w:tcPr/>
          <w:p>
            <w:pPr>
              <w:pStyle w:val="Compact"/>
              <w:jc w:val="left"/>
            </w:pPr>
            <w:r>
              <w:t xml:space="preserve">4.2%</w:t>
            </w:r>
          </w:p>
        </w:tc>
      </w:tr>
      <w:tr>
        <w:tc>
          <w:tcPr/>
          <w:p>
            <w:pPr>
              <w:pStyle w:val="Compact"/>
              <w:jc w:val="left"/>
            </w:pPr>
            <w:r>
              <w:t xml:space="preserve">Transport</w:t>
            </w:r>
          </w:p>
        </w:tc>
        <w:tc>
          <w:tcPr/>
          <w:p>
            <w:pPr>
              <w:pStyle w:val="Compact"/>
              <w:jc w:val="left"/>
            </w:pPr>
            <w:r>
              <w:t xml:space="preserve">1.41</w:t>
            </w:r>
          </w:p>
        </w:tc>
        <w:tc>
          <w:tcPr/>
          <w:p>
            <w:pPr>
              <w:pStyle w:val="Compact"/>
              <w:jc w:val="left"/>
            </w:pPr>
            <w:r>
              <w:t xml:space="preserve">2.4%</w:t>
            </w:r>
          </w:p>
        </w:tc>
      </w:tr>
      <w:tr>
        <w:tc>
          <w:tcPr/>
          <w:p>
            <w:pPr>
              <w:pStyle w:val="Compact"/>
              <w:jc w:val="left"/>
            </w:pPr>
            <w:r>
              <w:t xml:space="preserve">Use Phase</w:t>
            </w:r>
          </w:p>
        </w:tc>
        <w:tc>
          <w:tcPr/>
          <w:p>
            <w:pPr>
              <w:pStyle w:val="Compact"/>
              <w:jc w:val="left"/>
            </w:pPr>
            <w:r>
              <w:t xml:space="preserve">25.00</w:t>
            </w:r>
          </w:p>
        </w:tc>
        <w:tc>
          <w:tcPr/>
          <w:p>
            <w:pPr>
              <w:pStyle w:val="Compact"/>
              <w:jc w:val="left"/>
            </w:pPr>
            <w:r>
              <w:t xml:space="preserve">42.2%</w:t>
            </w:r>
          </w:p>
        </w:tc>
      </w:tr>
      <w:tr>
        <w:tc>
          <w:tcPr/>
          <w:p>
            <w:pPr>
              <w:pStyle w:val="Compact"/>
              <w:jc w:val="left"/>
            </w:pPr>
            <w:r>
              <w:t xml:space="preserve">End-of-Life</w:t>
            </w:r>
          </w:p>
        </w:tc>
        <w:tc>
          <w:tcPr/>
          <w:p>
            <w:pPr>
              <w:pStyle w:val="Compact"/>
              <w:jc w:val="left"/>
            </w:pPr>
            <w:r>
              <w:t xml:space="preserve">-5.72</w:t>
            </w:r>
          </w:p>
        </w:tc>
        <w:tc>
          <w:tcPr/>
          <w:p>
            <w:pPr>
              <w:pStyle w:val="Compact"/>
              <w:jc w:val="left"/>
            </w:pPr>
            <w:r>
              <w:t xml:space="preserve">-9.6%</w:t>
            </w:r>
          </w:p>
        </w:tc>
      </w:tr>
      <w:tr>
        <w:tc>
          <w:tcPr/>
          <w:p>
            <w:pPr>
              <w:pStyle w:val="Compact"/>
              <w:jc w:val="left"/>
            </w:pPr>
            <w:r>
              <w:rPr>
                <w:bCs/>
                <w:b/>
              </w:rPr>
              <w:t xml:space="preserve">Total PCF (1.0 unit of nduwmgeuum)</w:t>
            </w:r>
          </w:p>
        </w:tc>
        <w:tc>
          <w:tcPr/>
          <w:p>
            <w:pPr>
              <w:pStyle w:val="Compact"/>
              <w:jc w:val="left"/>
            </w:pPr>
            <w:r>
              <w:rPr>
                <w:bCs/>
                <w:b/>
              </w:rPr>
              <w:t xml:space="preserve">51.33 kgCO2e</w:t>
            </w:r>
          </w:p>
        </w:tc>
        <w:tc>
          <w:tcPr/>
          <w:p>
            <w:pPr>
              <w:pStyle w:val="Compact"/>
              <w:jc w:val="left"/>
            </w:pPr>
            <w:r>
              <w:rPr>
                <w:bCs/>
                <w:b/>
              </w:rPr>
              <w:t xml:space="preserve">100.0%</w:t>
            </w:r>
          </w:p>
        </w:tc>
      </w:tr>
    </w:tbl>
    <w:p>
      <w:pPr>
        <w:pStyle w:val="BodyText"/>
      </w:pPr>
      <w:r>
        <w:rPr>
          <w:iCs/>
          <w:i/>
        </w:rPr>
        <w:t xml:space="preserve">Note: The negative value in End-of-Life indicates a net avoided emission due to the high recyclability and assumed recycling benefits.</w:t>
      </w:r>
    </w:p>
    <w:bookmarkEnd w:id="41"/>
    <w:bookmarkStart w:id="42" w:name="X8f4b7d77c496121c9b70924621be16b1a4d9799"/>
    <w:p>
      <w:pPr>
        <w:pStyle w:val="Heading3"/>
      </w:pPr>
      <w:r>
        <w:t xml:space="preserve">2.7. Summary of Product Carbon Footprint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c>
          <w:tcPr/>
          <w:p>
            <w:pPr>
              <w:pStyle w:val="Compact"/>
              <w:jc w:val="left"/>
            </w:pPr>
            <w:r>
              <w:t xml:space="preserve">GHG Protocol Categories (examples)</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c>
          <w:tcPr/>
          <w:p>
            <w:pPr>
              <w:pStyle w:val="Compact"/>
              <w:jc w:val="left"/>
            </w:pPr>
            <w:r>
              <w:t xml:space="preserve">e.g., direct fuel combustion, process emissions</w:t>
            </w:r>
          </w:p>
        </w:tc>
      </w:tr>
      <w:tr>
        <w:tc>
          <w:tcPr/>
          <w:p>
            <w:pPr>
              <w:pStyle w:val="Compact"/>
              <w:jc w:val="left"/>
            </w:pPr>
            <w:r>
              <w:t xml:space="preserve">Scope 2 (Purchased Energy)</w:t>
            </w:r>
          </w:p>
        </w:tc>
        <w:tc>
          <w:tcPr/>
          <w:p>
            <w:pPr>
              <w:pStyle w:val="Compact"/>
              <w:jc w:val="left"/>
            </w:pPr>
            <w:r>
              <w:t xml:space="preserve">2.48</w:t>
            </w:r>
          </w:p>
        </w:tc>
        <w:tc>
          <w:tcPr/>
          <w:p>
            <w:pPr>
              <w:pStyle w:val="Compact"/>
              <w:jc w:val="left"/>
            </w:pPr>
            <w:r>
              <w:t xml:space="preserve">4.8%</w:t>
            </w:r>
          </w:p>
        </w:tc>
        <w:tc>
          <w:tcPr/>
          <w:p>
            <w:pPr>
              <w:pStyle w:val="Compact"/>
              <w:jc w:val="left"/>
            </w:pPr>
            <w:r>
              <w:t xml:space="preserve">Purchased electricity, steam, heat, cooling</w:t>
            </w:r>
          </w:p>
        </w:tc>
      </w:tr>
      <w:tr>
        <w:tc>
          <w:tcPr/>
          <w:p>
            <w:pPr>
              <w:pStyle w:val="Compact"/>
              <w:jc w:val="left"/>
            </w:pPr>
            <w:r>
              <w:t xml:space="preserve">Scope 3 (Value Chain Emissions)</w:t>
            </w:r>
          </w:p>
        </w:tc>
        <w:tc>
          <w:tcPr/>
          <w:p>
            <w:pPr>
              <w:pStyle w:val="Compact"/>
              <w:jc w:val="left"/>
            </w:pPr>
            <w:r>
              <w:t xml:space="preserve">48.85</w:t>
            </w:r>
          </w:p>
        </w:tc>
        <w:tc>
          <w:tcPr/>
          <w:p>
            <w:pPr>
              <w:pStyle w:val="Compact"/>
              <w:jc w:val="left"/>
            </w:pPr>
            <w:r>
              <w:t xml:space="preserve">95.2%</w:t>
            </w:r>
          </w:p>
        </w:tc>
        <w:tc>
          <w:tcPr/>
          <w:p>
            <w:pPr>
              <w:pStyle w:val="Compact"/>
              <w:jc w:val="left"/>
            </w:pPr>
            <w:r>
              <w:t xml:space="preserve">Category 1 (Purchased Goods &amp; Services), Category 4 (Upstream T&amp;D), Category 9 (Downstream T&amp;D), Category 11 (Use of Sold Products), Category 12 (End-of-Life Treatment of Sold Products)</w:t>
            </w:r>
          </w:p>
        </w:tc>
      </w:tr>
      <w:tr>
        <w:tc>
          <w:tcPr/>
          <w:p>
            <w:pPr>
              <w:pStyle w:val="Compact"/>
              <w:jc w:val="left"/>
            </w:pPr>
            <w:r>
              <w:rPr>
                <w:bCs/>
                <w:b/>
              </w:rPr>
              <w:t xml:space="preserve">Total PCF (1.0 unit of nduwmgeuum)</w:t>
            </w:r>
          </w:p>
        </w:tc>
        <w:tc>
          <w:tcPr/>
          <w:p>
            <w:pPr>
              <w:pStyle w:val="Compact"/>
              <w:jc w:val="left"/>
            </w:pPr>
            <w:r>
              <w:rPr>
                <w:bCs/>
                <w:b/>
              </w:rPr>
              <w:t xml:space="preserve">51.33 kgCO2e</w:t>
            </w:r>
          </w:p>
        </w:tc>
        <w:tc>
          <w:tcPr/>
          <w:p>
            <w:pPr>
              <w:pStyle w:val="Compact"/>
              <w:jc w:val="left"/>
            </w:pPr>
            <w:r>
              <w:rPr>
                <w:bCs/>
                <w:b/>
              </w:rPr>
              <w:t xml:space="preserve">100.0%</w:t>
            </w:r>
          </w:p>
        </w:tc>
        <w:tc>
          <w:tcPr/>
          <w:p>
            <w:pPr>
              <w:pStyle w:val="Compact"/>
            </w:pPr>
          </w:p>
        </w:tc>
      </w:tr>
    </w:tbl>
    <w:p>
      <w:pPr>
        <w:pStyle w:val="BodyText"/>
      </w:pPr>
      <w:r>
        <w:rPr>
          <w:bCs/>
          <w:b/>
        </w:rPr>
        <w:t xml:space="preserve">Scope 3 Compliance:</w:t>
      </w:r>
      <w:r>
        <w:t xml:space="preserve"> </w:t>
      </w:r>
      <w:r>
        <w:t xml:space="preserve">The Scope 3 emissions account for 95.2% of the total PCF, meeting the requirement of at least 95% coverage for Scope 3 reporting as per 2026 requirements.</w:t>
      </w:r>
    </w:p>
    <w:p>
      <w:r>
        <w:pict>
          <v:rect style="width:0;height:1.5pt" o:hralign="center" o:hrstd="t" o:hr="t"/>
        </w:pict>
      </w:r>
    </w:p>
    <w:bookmarkEnd w:id="42"/>
    <w:bookmarkEnd w:id="43"/>
    <w:bookmarkStart w:id="48" w:name="review-report"/>
    <w:p>
      <w:pPr>
        <w:pStyle w:val="Heading2"/>
      </w:pPr>
      <w:r>
        <w:t xml:space="preserve">3. Review &amp; Report</w:t>
      </w:r>
    </w:p>
    <w:bookmarkStart w:id="44" w:name="hotspots-identification"/>
    <w:p>
      <w:pPr>
        <w:pStyle w:val="Heading3"/>
      </w:pPr>
      <w:r>
        <w:t xml:space="preserve">3.1. Hotspots Identification</w:t>
      </w:r>
    </w:p>
    <w:p>
      <w:pPr>
        <w:pStyle w:val="FirstParagraph"/>
      </w:pPr>
      <w:r>
        <w:t xml:space="preserve">The analysis reveals the following key emission hotspots for \'nduwmgeuum\':</w:t>
      </w:r>
    </w:p>
    <w:p>
      <w:pPr>
        <w:numPr>
          <w:ilvl w:val="0"/>
          <w:numId w:val="1016"/>
        </w:numPr>
        <w:pStyle w:val="Compact"/>
      </w:pPr>
      <w:r>
        <w:rPr>
          <w:bCs/>
          <w:b/>
        </w:rPr>
        <w:t xml:space="preserve">Raw Material Acquisition &amp; Pre-processing (47.5%):</w:t>
      </w:r>
      <w:r>
        <w:t xml:space="preserve"> </w:t>
      </w:r>
      <w:r>
        <w:t xml:space="preserve">The production of materials, especially the silicon chip, is a dominant contributor. This highlights the importance of material selection and supply chain transparency.</w:t>
      </w:r>
    </w:p>
    <w:p>
      <w:pPr>
        <w:numPr>
          <w:ilvl w:val="0"/>
          <w:numId w:val="1016"/>
        </w:numPr>
        <w:pStyle w:val="Compact"/>
      </w:pPr>
      <w:r>
        <w:rPr>
          <w:bCs/>
          <w:b/>
        </w:rPr>
        <w:t xml:space="preserve">Use Phase (42.2%):</w:t>
      </w:r>
      <w:r>
        <w:t xml:space="preserve"> </w:t>
      </w:r>
      <w:r>
        <w:t xml:space="preserve">The energy consumption during the product\'s 5-year lifespan significantly contributes to its overall footprint. This suggests opportunities for improving energy efficiency during product use.</w:t>
      </w:r>
    </w:p>
    <w:p>
      <w:pPr>
        <w:numPr>
          <w:ilvl w:val="0"/>
          <w:numId w:val="1016"/>
        </w:numPr>
        <w:pStyle w:val="Compact"/>
      </w:pPr>
      <w:r>
        <w:rPr>
          <w:bCs/>
          <w:b/>
        </w:rPr>
        <w:t xml:space="preserve">End-of-Life (-9.6%):</w:t>
      </w:r>
      <w:r>
        <w:t xml:space="preserve"> </w:t>
      </w:r>
      <w:r>
        <w:t xml:space="preserve">While a negative value indicates a net benefit from recycling, effective implementation of circular programs is crucial to realize these avoided emissions.</w:t>
      </w:r>
    </w:p>
    <w:p>
      <w:pPr>
        <w:numPr>
          <w:ilvl w:val="0"/>
          <w:numId w:val="1016"/>
        </w:numPr>
        <w:pStyle w:val="Compact"/>
      </w:pPr>
      <w:r>
        <w:rPr>
          <w:bCs/>
          <w:b/>
        </w:rPr>
        <w:t xml:space="preserve">Manufacturing (4.2%):</w:t>
      </w:r>
      <w:r>
        <w:t xml:space="preserve"> </w:t>
      </w:r>
      <w:r>
        <w:t xml:space="preserve">While not the largest, the manufacturing energy mix in China, even with 75% renewable usage, still contributes notably. Further shifting to 100% renewable energy would reduce this.</w:t>
      </w:r>
    </w:p>
    <w:bookmarkEnd w:id="44"/>
    <w:bookmarkStart w:id="45" w:name="reliability-statement"/>
    <w:p>
      <w:pPr>
        <w:pStyle w:val="Heading3"/>
      </w:pPr>
      <w:r>
        <w:t xml:space="preserve">3.2. Reliability Statement</w:t>
      </w:r>
    </w:p>
    <w:p>
      <w:pPr>
        <w:pStyle w:val="FirstParagraph"/>
      </w:pPr>
      <w:r>
        <w:t xml:space="preserve">The reliability of this PCF analysis is influenced by the data sources and assumptions made. While the methodology adheres to the GHG Protocol Product Standard, the specific emission factors for materials, energy, and transport are representative values, not directly sourced from specific licensed databases (Ecoinvent/DEFRA) for this illustrative report. The accuracy would significantly improve with primary data from suppliers and direct measurements. The 95% Scope 3 coverage enhances the comprehensiveness of the report. The application of the 2026 LSR Standard is noted, with the understanding that more detailed guidance is expected for its full implementation.</w:t>
      </w:r>
    </w:p>
    <w:bookmarkEnd w:id="45"/>
    <w:bookmarkStart w:id="47" w:name="conclusion-and-recommendations"/>
    <w:p>
      <w:pPr>
        <w:pStyle w:val="Heading3"/>
      </w:pPr>
      <w:r>
        <w:t xml:space="preserve">3.3. Conclusion and Recommendations</w:t>
      </w:r>
    </w:p>
    <w:p>
      <w:pPr>
        <w:pStyle w:val="FirstParagraph"/>
      </w:pPr>
      <w:r>
        <w:t xml:space="preserve">The Product Carbon Footprint for one unit of \'nduwmgeuum\' is calculated to be</w:t>
      </w:r>
      <w:r>
        <w:t xml:space="preserve"> </w:t>
      </w:r>
      <w:r>
        <w:rPr>
          <w:bCs/>
          <w:b/>
        </w:rPr>
        <w:t xml:space="preserve">51.33 kgCO2e</w:t>
      </w:r>
      <w:r>
        <w:t xml:space="preserve">. The primary drivers of this footprint are the upstream material production and the product\'s energy consumption during its use phase.</w:t>
      </w:r>
    </w:p>
    <w:bookmarkStart w:id="46" w:name="X788fbff7c021e2a678ac07c45b3966641b0fc80"/>
    <w:p>
      <w:pPr>
        <w:pStyle w:val="Heading4"/>
      </w:pPr>
      <w:r>
        <w:t xml:space="preserve">Recommendations for Carbon Footprint Reduction:</w:t>
      </w:r>
    </w:p>
    <w:p>
      <w:pPr>
        <w:numPr>
          <w:ilvl w:val="0"/>
          <w:numId w:val="1017"/>
        </w:numPr>
        <w:pStyle w:val="Compact"/>
      </w:pPr>
      <w:r>
        <w:rPr>
          <w:bCs/>
          <w:b/>
        </w:rPr>
        <w:t xml:space="preserve">Material Optimization:</w:t>
      </w:r>
      <w:r>
        <w:t xml:space="preserve"> </w:t>
      </w:r>
      <w:r>
        <w:t xml:space="preserve">Investigate alternative, lower-carbon materials for high-impact components, particularly for the silicon chip. Explore higher proportions of recycled content where feasible, and engage with suppliers to obtain product-specific emission data.</w:t>
      </w:r>
    </w:p>
    <w:p>
      <w:pPr>
        <w:numPr>
          <w:ilvl w:val="0"/>
          <w:numId w:val="1017"/>
        </w:numPr>
        <w:pStyle w:val="Compact"/>
      </w:pPr>
      <w:r>
        <w:rPr>
          <w:bCs/>
          <w:b/>
        </w:rPr>
        <w:t xml:space="preserve">Energy Efficiency in Use:</w:t>
      </w:r>
      <w:r>
        <w:t xml:space="preserve"> </w:t>
      </w:r>
      <w:r>
        <w:t xml:space="preserve">Develop strategies to reduce the energy consumption of \'nduwmgeuum\' during its operational lifespan. This could involve design improvements, offering energy-saving modes, or consumer education on efficient use.</w:t>
      </w:r>
    </w:p>
    <w:p>
      <w:pPr>
        <w:numPr>
          <w:ilvl w:val="0"/>
          <w:numId w:val="1017"/>
        </w:numPr>
        <w:pStyle w:val="Compact"/>
      </w:pPr>
      <w:r>
        <w:rPr>
          <w:bCs/>
          <w:b/>
        </w:rPr>
        <w:t xml:space="preserve">Enhanced Circularity:</w:t>
      </w:r>
      <w:r>
        <w:t xml:space="preserve"> </w:t>
      </w:r>
      <w:r>
        <w:t xml:space="preserve">Continue to strengthen circular/take-back programs to ensure the high recyclability percentage is actualized. This can involve partnerships with recycling facilities and design for disassembly.</w:t>
      </w:r>
    </w:p>
    <w:p>
      <w:pPr>
        <w:numPr>
          <w:ilvl w:val="0"/>
          <w:numId w:val="1017"/>
        </w:numPr>
        <w:pStyle w:val="Compact"/>
      </w:pPr>
      <w:r>
        <w:rPr>
          <w:bCs/>
          <w:b/>
        </w:rPr>
        <w:t xml:space="preserve">Renewable Energy Sourcing:</w:t>
      </w:r>
      <w:r>
        <w:t xml:space="preserve"> </w:t>
      </w:r>
      <w:r>
        <w:t xml:space="preserve">Pursue 100% renewable energy procurement for manufacturing operations in China to further reduce Scope 2 emissions.</w:t>
      </w:r>
    </w:p>
    <w:p>
      <w:pPr>
        <w:numPr>
          <w:ilvl w:val="0"/>
          <w:numId w:val="1017"/>
        </w:numPr>
        <w:pStyle w:val="Compact"/>
      </w:pPr>
      <w:r>
        <w:rPr>
          <w:bCs/>
          <w:b/>
        </w:rPr>
        <w:t xml:space="preserve">Supply Chain Engagement:</w:t>
      </w:r>
      <w:r>
        <w:t xml:space="preserve"> </w:t>
      </w:r>
      <w:r>
        <w:t xml:space="preserve">Collaborate with upstream and downstream partners to identify further reduction opportunities across the entire value chain and gather more specific, high-quality primary data for more accurate future assessments.</w:t>
      </w:r>
    </w:p>
    <w:p>
      <w:r>
        <w:pict>
          <v:rect style="width:0;height:1.5pt" o:hralign="center" o:hrstd="t" o:hr="t"/>
        </w:pict>
      </w:r>
    </w:p>
    <w:p>
      <w:pPr>
        <w:pStyle w:val="FirstParagraph"/>
      </w:pPr>
      <w:r>
        <w:t xml:space="preserve">Confidential - Internal Use Only | Page X of Y</w:t>
      </w:r>
    </w:p>
    <w:bookmarkEnd w:id="46"/>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nduwmgeuum</dc:title>
  <dc:creator/>
  <dc:description>Detailed Product Carbon Footprint (PCF) analysis report for nduwmgeuum, adhering to GHG Protocol and 2026 LSR Standard, for company monfzwimkx by Senior Sustainability Consultant xmekwvltsy.</dc:description>
  <dc:language>en</dc:language>
  <cp:keywords/>
  <dcterms:created xsi:type="dcterms:W3CDTF">2026-07-14T23:35:36Z</dcterms:created>
  <dcterms:modified xsi:type="dcterms:W3CDTF">2026-07-14T23:35:36Z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