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nduewleerj</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nduewleerj"/>
    <w:p>
      <w:pPr>
        <w:pStyle w:val="Heading2"/>
      </w:pPr>
      <w:r>
        <w:t xml:space="preserve">for nduewleerj</w:t>
      </w:r>
    </w:p>
    <w:p>
      <w:pPr>
        <w:pStyle w:val="FirstParagraph"/>
      </w:pPr>
      <w:r>
        <w:rPr>
          <w:bCs/>
          <w:b/>
        </w:rPr>
        <w:t xml:space="preserve">Company Name:</w:t>
      </w:r>
      <w:r>
        <w:t xml:space="preserve"> </w:t>
      </w:r>
      <w:r>
        <w:t xml:space="preserve">qporguhvpw</w:t>
      </w:r>
    </w:p>
    <w:p>
      <w:pPr>
        <w:pStyle w:val="BodyText"/>
      </w:pPr>
      <w:r>
        <w:rPr>
          <w:bCs/>
          <w:b/>
        </w:rPr>
        <w:t xml:space="preserve">Senior Sustainability Consultant:</w:t>
      </w:r>
      <w:r>
        <w:t xml:space="preserve"> </w:t>
      </w:r>
      <w:r>
        <w:t xml:space="preserve">zwgltvxvde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depending on specific operational details and data precision. Illustrative placeholder values are used for parameters where specific data was not provided.</w:t>
      </w:r>
    </w:p>
    <w:bookmarkEnd w:id="20"/>
    <w:bookmarkEnd w:id="21"/>
    <w:bookmarkStart w:id="58" w:name="X56e3b755b0ac595008f0949a492dec9b83e8d0b"/>
    <w:p>
      <w:pPr>
        <w:pStyle w:val="Heading1"/>
      </w:pPr>
      <w:r>
        <w:t xml:space="preserve">Product Carbon Footprint Analysis for nduewleerj</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"nduewleerj" manufactured by "qporguhvpw". The analysis was conducted by Senior Sustainability Consultant zwgltvxvde, following the GHG Protocol and incorporating the 2026 Land Sector and Removals (LSR) Standard updates, with a strong emphasis on achieving at least 95% Scope 3 coverage. The PCF quantifies the greenhouse gas emissions associated with nduewleerj across its lifecycle, from raw material acquisition to end-of-life, providing critical insights for identifying hotspots and opportunities for emission reduction.</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This section defines the parameters and boundaries for the Product Carbon Footprint analysis of nduewleerj.</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nduewleerj. This unit serves as the reference basis for all emission calculations, allowing for consistent comparison and aggregation of impacts across different lifecycle stages.</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"cradle-to-gate" approach focuses on emissions from raw material extraction, processing, manufacturing, and transport up to the point the finished product leaves the factory gate. However, per the requirements for a full PCF, the analysis is extended to include the Use Phase and End-of-Life (EoL) scenarios to provide a comprehensive "cradle-to-grave" perspective for reporting and hotspot identification.</w:t>
      </w:r>
    </w:p>
    <w:p>
      <w:pPr>
        <w:numPr>
          <w:ilvl w:val="0"/>
          <w:numId w:val="1002"/>
        </w:numPr>
        <w:pStyle w:val="Compact"/>
      </w:pPr>
      <w:r>
        <w:rPr>
          <w:bCs/>
          <w:b/>
        </w:rPr>
        <w:t xml:space="preserve">Included Stages:</w:t>
      </w:r>
    </w:p>
    <w:p>
      <w:pPr>
        <w:numPr>
          <w:ilvl w:val="1"/>
          <w:numId w:val="1003"/>
        </w:numPr>
        <w:pStyle w:val="Compact"/>
      </w:pPr>
      <w:r>
        <w:t xml:space="preserve">Materials Acquisition &amp; Pre-processing (Upstream)</w:t>
      </w:r>
    </w:p>
    <w:p>
      <w:pPr>
        <w:numPr>
          <w:ilvl w:val="1"/>
          <w:numId w:val="1003"/>
        </w:numPr>
        <w:pStyle w:val="Compact"/>
      </w:pPr>
      <w:r>
        <w:t xml:space="preserve">Production/Manufacturing (Core Production)</w:t>
      </w:r>
    </w:p>
    <w:p>
      <w:pPr>
        <w:numPr>
          <w:ilvl w:val="1"/>
          <w:numId w:val="1003"/>
        </w:numPr>
        <w:pStyle w:val="Compact"/>
      </w:pPr>
      <w:r>
        <w:t xml:space="preserve">Transport to Customer (Downstream Distribution)</w:t>
      </w:r>
    </w:p>
    <w:p>
      <w:pPr>
        <w:numPr>
          <w:ilvl w:val="1"/>
          <w:numId w:val="1003"/>
        </w:numPr>
        <w:pStyle w:val="Compact"/>
      </w:pPr>
      <w:r>
        <w:t xml:space="preserve">Use Phase (Downstream)</w:t>
      </w:r>
    </w:p>
    <w:p>
      <w:pPr>
        <w:numPr>
          <w:ilvl w:val="1"/>
          <w:numId w:val="1003"/>
        </w:numPr>
        <w:pStyle w:val="Compact"/>
      </w:pPr>
      <w:r>
        <w:t xml:space="preserve">End-of-Life (Downstream)</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 Production emissions and energy mix will reflect typical factors for this region.</w:t>
      </w:r>
    </w:p>
    <w:p>
      <w:pPr>
        <w:numPr>
          <w:ilvl w:val="0"/>
          <w:numId w:val="1004"/>
        </w:numPr>
        <w:pStyle w:val="Compact"/>
      </w:pPr>
      <w:r>
        <w:rPr>
          <w:bCs/>
          <w:b/>
        </w:rPr>
        <w:t xml:space="preserve">Supply Chain Focus:</w:t>
      </w:r>
      <w:r>
        <w:t xml:space="preserve"> </w:t>
      </w:r>
      <w:r>
        <w:t xml:space="preserve">Europe Focused. Upstream material sourcing and initial transport stages are assumed to originate predominantly from or transit through Europe.</w:t>
      </w:r>
    </w:p>
    <w:bookmarkEnd w:id="25"/>
    <w:bookmarkStart w:id="26" w:name="accounting-standard"/>
    <w:p>
      <w:pPr>
        <w:pStyle w:val="Heading3"/>
      </w:pPr>
      <w:r>
        <w:t xml:space="preserve">1.4 Accounting Standard</w:t>
      </w:r>
    </w:p>
    <w:p>
      <w:pPr>
        <w:numPr>
          <w:ilvl w:val="0"/>
          <w:numId w:val="1005"/>
        </w:numPr>
        <w:pStyle w:val="Compact"/>
      </w:pPr>
      <w:r>
        <w:rPr>
          <w:bCs/>
          <w:b/>
        </w:rPr>
        <w:t xml:space="preserve">Accounting Standard:</w:t>
      </w:r>
      <w:r>
        <w:t xml:space="preserve"> </w:t>
      </w:r>
      <w:r>
        <w:t xml:space="preserve">GHG Protocol. This analysis strictly adheres to the Greenhouse Gas Protocol Product Standard, categorizing emissions into Scope 1 (direct), Scope 2 (purchased energy), and Scope 3 (value chain) to ensure transparency and comparability. Specific attention has been given to the 2026 updates regarding the Land Sector and Removals (LSR) Standard and the requirement for at least 95% coverage for Scope 3 reporting.</w:t>
      </w:r>
    </w:p>
    <w:bookmarkEnd w:id="26"/>
    <w:bookmarkStart w:id="27" w:name="allocation"/>
    <w:p>
      <w:pPr>
        <w:pStyle w:val="Heading3"/>
      </w:pPr>
      <w:r>
        <w:t xml:space="preserve">1.5 Allocation</w:t>
      </w:r>
    </w:p>
    <w:p>
      <w:pPr>
        <w:numPr>
          <w:ilvl w:val="0"/>
          <w:numId w:val="1006"/>
        </w:numPr>
        <w:pStyle w:val="Compact"/>
      </w:pPr>
      <w:r>
        <w:rPr>
          <w:bCs/>
          <w:b/>
        </w:rPr>
        <w:t xml:space="preserve">Allocation Method:</w:t>
      </w:r>
      <w:r>
        <w:t xml:space="preserve"> </w:t>
      </w:r>
      <w:r>
        <w:t xml:space="preserve">For a single product PCF, emissions are directly attributed to the functional unit (1.0 unit of nduewleerj). In cases of shared processes (e.g., manufacturing facilities producing multiple products), mass-based or economic allocation would be applied, but for this specific product analysis, direct attribution is assumed where possible.</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nduewleerj is mapped across five key stages, detailing the activities and processes that contribute to its carbon footprint.</w:t>
      </w:r>
    </w:p>
    <w:bookmarkStart w:id="29" w:name="Xa124a95b981c370289279a4b723120ad8e79cc2"/>
    <w:p>
      <w:pPr>
        <w:pStyle w:val="Heading3"/>
      </w:pPr>
      <w:r>
        <w:t xml:space="preserve">2.1 Materials Acquisition &amp; Pre-processing (Scope 3 - Upstream)</w:t>
      </w:r>
    </w:p>
    <w:p>
      <w:pPr>
        <w:pStyle w:val="FirstParagraph"/>
      </w:pPr>
      <w:r>
        <w:t xml:space="preserve">This stage includes the extraction of raw materials, their initial processing, and the manufacturing of components before they arrive at the qporguhvpw production facility. The Detailed Bill of Materials (BOM) for xgwdkzkz is critical here.</w:t>
      </w:r>
    </w:p>
    <w:p>
      <w:pPr>
        <w:numPr>
          <w:ilvl w:val="0"/>
          <w:numId w:val="1007"/>
        </w:numPr>
        <w:pStyle w:val="Compact"/>
      </w:pPr>
      <w:r>
        <w:rPr>
          <w:bCs/>
          <w:b/>
        </w:rPr>
        <w:t xml:space="preserve">Inputs:</w:t>
      </w:r>
      <w:r>
        <w:t xml:space="preserve"> </w:t>
      </w:r>
      <w:r>
        <w:t xml:space="preserve">Raw materials (metals, plastics, electronic components, packaging), pre-processed sub-assemblies.</w:t>
      </w:r>
    </w:p>
    <w:p>
      <w:pPr>
        <w:numPr>
          <w:ilvl w:val="0"/>
          <w:numId w:val="1007"/>
        </w:numPr>
        <w:pStyle w:val="Compact"/>
      </w:pPr>
      <w:r>
        <w:rPr>
          <w:bCs/>
          <w:b/>
        </w:rPr>
        <w:t xml:space="preserve">Processes:</w:t>
      </w:r>
      <w:r>
        <w:t xml:space="preserve"> </w:t>
      </w:r>
      <w:r>
        <w:t xml:space="preserve">Mining, refining, polymer production, component fabrication, initial transport to component manufacturers.</w:t>
      </w:r>
    </w:p>
    <w:bookmarkEnd w:id="29"/>
    <w:bookmarkStart w:id="30" w:name="production-manufacturing-scope-1-2"/>
    <w:p>
      <w:pPr>
        <w:pStyle w:val="Heading3"/>
      </w:pPr>
      <w:r>
        <w:t xml:space="preserve">2.2 Production (Manufacturing) (Scope 1 &amp; 2)</w:t>
      </w:r>
    </w:p>
    <w:p>
      <w:pPr>
        <w:pStyle w:val="FirstParagraph"/>
      </w:pPr>
      <w:r>
        <w:t xml:space="preserve">This stage covers the manufacturing processes at qporguhvpw\'s facility, located in China, to assemble and produce nduewleerj.</w:t>
      </w:r>
    </w:p>
    <w:p>
      <w:pPr>
        <w:numPr>
          <w:ilvl w:val="0"/>
          <w:numId w:val="1008"/>
        </w:numPr>
        <w:pStyle w:val="Compact"/>
      </w:pPr>
      <w:r>
        <w:rPr>
          <w:bCs/>
          <w:b/>
        </w:rPr>
        <w:t xml:space="preserve">Inputs:</w:t>
      </w:r>
      <w:r>
        <w:t xml:space="preserve"> </w:t>
      </w:r>
      <w:r>
        <w:t xml:space="preserve">Purchased electricity, potentially on-site fuel combustion, water, direct materials from BOM.</w:t>
      </w:r>
    </w:p>
    <w:p>
      <w:pPr>
        <w:numPr>
          <w:ilvl w:val="0"/>
          <w:numId w:val="1008"/>
        </w:numPr>
        <w:pStyle w:val="Compact"/>
      </w:pPr>
      <w:r>
        <w:rPr>
          <w:bCs/>
          <w:b/>
        </w:rPr>
        <w:t xml:space="preserve">Processes:</w:t>
      </w:r>
      <w:r>
        <w:t xml:space="preserve"> </w:t>
      </w:r>
      <w:r>
        <w:t xml:space="preserve">Assembly, machining, finishing, packaging, quality control.</w:t>
      </w:r>
    </w:p>
    <w:p>
      <w:pPr>
        <w:numPr>
          <w:ilvl w:val="0"/>
          <w:numId w:val="1008"/>
        </w:numPr>
        <w:pStyle w:val="Compact"/>
      </w:pPr>
      <w:r>
        <w:rPr>
          <w:bCs/>
          <w:b/>
        </w:rPr>
        <w:t xml:space="preserve">Key Parameters:</w:t>
      </w:r>
      <w:r>
        <w:t xml:space="preserve"> </w:t>
      </w:r>
      <w:r>
        <w:t xml:space="preserve">Energy Intensity (lgqmnfurtm kWh/unit), Renewable Energy Usage (hpjtvoetej).</w:t>
      </w:r>
    </w:p>
    <w:bookmarkEnd w:id="30"/>
    <w:bookmarkStart w:id="31" w:name="X71c2dcd675df23fc104d48ef6b7ab710cc88cf8"/>
    <w:p>
      <w:pPr>
        <w:pStyle w:val="Heading3"/>
      </w:pPr>
      <w:r>
        <w:t xml:space="preserve">2.3 Transport (Distribution) (Scope 3 - Downstream)</w:t>
      </w:r>
    </w:p>
    <w:p>
      <w:pPr>
        <w:pStyle w:val="FirstParagraph"/>
      </w:pPr>
      <w:r>
        <w:t xml:space="preserve">This stage includes the transportation of the finished product from the factory gate to the end-consumer or retailer.</w:t>
      </w:r>
    </w:p>
    <w:p>
      <w:pPr>
        <w:numPr>
          <w:ilvl w:val="0"/>
          <w:numId w:val="1009"/>
        </w:numPr>
        <w:pStyle w:val="Compact"/>
      </w:pPr>
      <w:r>
        <w:rPr>
          <w:bCs/>
          <w:b/>
        </w:rPr>
        <w:t xml:space="preserve">Inputs:</w:t>
      </w:r>
      <w:r>
        <w:t xml:space="preserve"> </w:t>
      </w:r>
      <w:r>
        <w:t xml:space="preserve">Fuel for transportation vehicles.</w:t>
      </w:r>
    </w:p>
    <w:p>
      <w:pPr>
        <w:numPr>
          <w:ilvl w:val="0"/>
          <w:numId w:val="1009"/>
        </w:numPr>
        <w:pStyle w:val="Compact"/>
      </w:pPr>
      <w:r>
        <w:rPr>
          <w:bCs/>
          <w:b/>
        </w:rPr>
        <w:t xml:space="preserve">Processes:</w:t>
      </w:r>
      <w:r>
        <w:t xml:space="preserve"> </w:t>
      </w:r>
      <w:r>
        <w:t xml:space="preserve">Road freight, sea freight, air freight, rail freight, depending on "Select Mode".</w:t>
      </w:r>
    </w:p>
    <w:p>
      <w:pPr>
        <w:numPr>
          <w:ilvl w:val="0"/>
          <w:numId w:val="1009"/>
        </w:numPr>
        <w:pStyle w:val="Compact"/>
      </w:pPr>
      <w:r>
        <w:rPr>
          <w:bCs/>
          <w:b/>
        </w:rPr>
        <w:t xml:space="preserve">Key Parameters:</w:t>
      </w:r>
      <w:r>
        <w:t xml:space="preserve"> </w:t>
      </w:r>
      <w:r>
        <w:t xml:space="preserve">Transport Mode (Select Mode), Transport Distance (jmhoxmqjyy), Last-Mile Delivery Channel (Delivery Type).</w:t>
      </w:r>
    </w:p>
    <w:bookmarkEnd w:id="31"/>
    <w:bookmarkStart w:id="32" w:name="use-phase-scope-3---downstream"/>
    <w:p>
      <w:pPr>
        <w:pStyle w:val="Heading3"/>
      </w:pPr>
      <w:r>
        <w:t xml:space="preserve">2.4 Use Phase (Scope 3 - Downstream)</w:t>
      </w:r>
    </w:p>
    <w:p>
      <w:pPr>
        <w:pStyle w:val="FirstParagraph"/>
      </w:pPr>
      <w:r>
        <w:t xml:space="preserve">This stage accounts for the emissions generated during the product\'s active use by the consumer over its lifespan.</w:t>
      </w:r>
    </w:p>
    <w:p>
      <w:pPr>
        <w:numPr>
          <w:ilvl w:val="0"/>
          <w:numId w:val="1010"/>
        </w:numPr>
        <w:pStyle w:val="Compact"/>
      </w:pPr>
      <w:r>
        <w:rPr>
          <w:bCs/>
          <w:b/>
        </w:rPr>
        <w:t xml:space="preserve">Inputs:</w:t>
      </w:r>
      <w:r>
        <w:t xml:space="preserve"> </w:t>
      </w:r>
      <w:r>
        <w:t xml:space="preserve">Electricity for operation.</w:t>
      </w:r>
    </w:p>
    <w:p>
      <w:pPr>
        <w:numPr>
          <w:ilvl w:val="0"/>
          <w:numId w:val="1010"/>
        </w:numPr>
        <w:pStyle w:val="Compact"/>
      </w:pPr>
      <w:r>
        <w:rPr>
          <w:bCs/>
          <w:b/>
        </w:rPr>
        <w:t xml:space="preserve">Processes:</w:t>
      </w:r>
      <w:r>
        <w:t xml:space="preserve"> </w:t>
      </w:r>
      <w:r>
        <w:t xml:space="preserve">Product operation, standby power consumption, maintenance.</w:t>
      </w:r>
    </w:p>
    <w:p>
      <w:pPr>
        <w:numPr>
          <w:ilvl w:val="0"/>
          <w:numId w:val="1010"/>
        </w:numPr>
        <w:pStyle w:val="Compact"/>
      </w:pPr>
      <w:r>
        <w:rPr>
          <w:bCs/>
          <w:b/>
        </w:rPr>
        <w:t xml:space="preserve">Key Parameters:</w:t>
      </w:r>
      <w:r>
        <w:t xml:space="preserve"> </w:t>
      </w:r>
      <w:r>
        <w:t xml:space="preserve">Product Lifespan (xfzzglrivi), Energy Consumption in Use (jflpkvqgmj).</w:t>
      </w:r>
    </w:p>
    <w:bookmarkEnd w:id="32"/>
    <w:bookmarkStart w:id="33" w:name="end-of-life-eol-scope-3---downstream"/>
    <w:p>
      <w:pPr>
        <w:pStyle w:val="Heading3"/>
      </w:pPr>
      <w:r>
        <w:t xml:space="preserve">2.5 End-of-Life (EoL) (Scope 3 - Downstream)</w:t>
      </w:r>
    </w:p>
    <w:p>
      <w:pPr>
        <w:pStyle w:val="FirstParagraph"/>
      </w:pPr>
      <w:r>
        <w:t xml:space="preserve">This final stage considers the disposal, recycling, or recovery processes for nduewleerj at the end of its useful life.</w:t>
      </w:r>
    </w:p>
    <w:p>
      <w:pPr>
        <w:numPr>
          <w:ilvl w:val="0"/>
          <w:numId w:val="1011"/>
        </w:numPr>
        <w:pStyle w:val="Compact"/>
      </w:pPr>
      <w:r>
        <w:rPr>
          <w:bCs/>
          <w:b/>
        </w:rPr>
        <w:t xml:space="preserve">Inputs:</w:t>
      </w:r>
      <w:r>
        <w:t xml:space="preserve"> </w:t>
      </w:r>
      <w:r>
        <w:t xml:space="preserve">Energy for recycling/disposal processes, transport to facilities.</w:t>
      </w:r>
    </w:p>
    <w:p>
      <w:pPr>
        <w:numPr>
          <w:ilvl w:val="0"/>
          <w:numId w:val="1011"/>
        </w:numPr>
        <w:pStyle w:val="Compact"/>
      </w:pPr>
      <w:r>
        <w:rPr>
          <w:bCs/>
          <w:b/>
        </w:rPr>
        <w:t xml:space="preserve">Processes:</w:t>
      </w:r>
      <w:r>
        <w:t xml:space="preserve"> </w:t>
      </w:r>
      <w:r>
        <w:t xml:space="preserve">Landfilling, incineration, recycling, dismantling, remanufacturing (if applicable through circular programs).</w:t>
      </w:r>
    </w:p>
    <w:p>
      <w:pPr>
        <w:numPr>
          <w:ilvl w:val="0"/>
          <w:numId w:val="1011"/>
        </w:numPr>
        <w:pStyle w:val="Compact"/>
      </w:pPr>
      <w:r>
        <w:rPr>
          <w:bCs/>
          <w:b/>
        </w:rPr>
        <w:t xml:space="preserve">Key Parameters:</w:t>
      </w:r>
      <w:r>
        <w:t xml:space="preserve"> </w:t>
      </w:r>
      <w:r>
        <w:t xml:space="preserve">Recyclability Percentage (rpwxzvthvz), Circular/Take-back Programs (tpgvgxeyqo).</w:t>
      </w:r>
    </w:p>
    <w:p>
      <w:r>
        <w:pict>
          <v:rect style="width:0;height:1.5pt" o:hralign="center" o:hrstd="t" o:hr="t"/>
        </w:pict>
      </w:r>
    </w:p>
    <w:bookmarkEnd w:id="33"/>
    <w:bookmarkEnd w:id="34"/>
    <w:bookmarkStart w:id="40" w:name="X7b6d01ce7b6bfe45f00681616505557cddf238f"/>
    <w:p>
      <w:pPr>
        <w:pStyle w:val="Heading2"/>
      </w:pPr>
      <w:r>
        <w:t xml:space="preserve">3. Data Collection (Primary/Secondary Data Points)</w:t>
      </w:r>
    </w:p>
    <w:p>
      <w:pPr>
        <w:pStyle w:val="FirstParagraph"/>
      </w:pPr>
      <w:r>
        <w:t xml:space="preserve">Data for this PCF analysis is derived from a combination of primary (specified parameters) and secondary (illustrative industry average) sources. It\'s crucial to note that where specific values for parameters were provided as variable names (e.g., xgwdkzkz, Select Mode), illustrative data conforming to the specified format has been generated for demonstration purposes.</w:t>
      </w:r>
    </w:p>
    <w:bookmarkStart w:id="35" w:name="detailed-bill-of-materials-bom-data"/>
    <w:p>
      <w:pPr>
        <w:pStyle w:val="Heading3"/>
      </w:pPr>
      <w:r>
        <w:t xml:space="preserve">3.1 Detailed Bill of Materials (BOM) Data</w:t>
      </w:r>
    </w:p>
    <w:p>
      <w:pPr>
        <w:pStyle w:val="FirstParagraph"/>
      </w:pPr>
      <w:r>
        <w:t xml:space="preserve">The following illustrative Detailed Bill of Materials for "xgwdkzkz" is used for the materials acquisition and pre-processing stage. These values provide the basis for calculating upstream (Scope 3) emissions from material inputs. The "Total Carbon" value per item assumes calculation based on Quantity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P-002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Integrated Circuit (IC)</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E-004</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W-006</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PK-007</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Recycled Paper Prod.</w:t>
            </w:r>
          </w:p>
        </w:tc>
        <w:tc>
          <w:tcPr/>
          <w:p>
            <w:pPr>
              <w:pStyle w:val="Compact"/>
              <w:jc w:val="left"/>
            </w:pPr>
            <w:r>
              <w:t xml:space="preserve">0.2</w:t>
            </w:r>
          </w:p>
        </w:tc>
        <w:tc>
          <w:tcPr/>
          <w:p>
            <w:pPr>
              <w:pStyle w:val="Compact"/>
              <w:jc w:val="left"/>
            </w:pPr>
            <w:r>
              <w:t xml:space="preserve">kg</w:t>
            </w:r>
          </w:p>
        </w:tc>
        <w:tc>
          <w:tcPr/>
          <w:p>
            <w:pPr>
              <w:pStyle w:val="Compact"/>
              <w:jc w:val="left"/>
            </w:pPr>
            <w:r>
              <w:t xml:space="preserve">0.6</w:t>
            </w:r>
          </w:p>
        </w:tc>
        <w:tc>
          <w:tcPr/>
          <w:p>
            <w:pPr>
              <w:pStyle w:val="Compact"/>
              <w:jc w:val="left"/>
            </w:pPr>
            <w:r>
              <w:t xml:space="preserve">0.12</w:t>
            </w:r>
          </w:p>
        </w:tc>
      </w:tr>
      <w:tr>
        <w:tc>
          <w:tcPr>
            <w:gridSpan w:val="7"/>
          </w:tcPr>
          <w:p>
            <w:pPr>
              <w:pStyle w:val="Compact"/>
              <w:jc w:val="right"/>
            </w:pPr>
            <w:r>
              <w:t xml:space="preserve">Subtotal Material Emissions (Illustrative)</w:t>
            </w:r>
          </w:p>
        </w:tc>
        <w:tc>
          <w:tcPr/>
          <w:p>
            <w:pPr>
              <w:pStyle w:val="Compact"/>
              <w:jc w:val="left"/>
            </w:pPr>
            <w:r>
              <w:t xml:space="preserve">10.02</w:t>
            </w:r>
          </w:p>
        </w:tc>
      </w:tr>
    </w:tbl>
    <w:p>
      <w:pPr>
        <w:pStyle w:val="BodyText"/>
      </w:pPr>
      <w:r>
        <w:rPr>
          <w:iCs/>
          <w:i/>
        </w:rPr>
        <w:t xml:space="preserve">Note: The above BOM data is illustrative, created based on the specified format for \'xgwdkzkz\'. Actual values would be derived from primary supplier data.</w:t>
      </w:r>
    </w:p>
    <w:bookmarkEnd w:id="35"/>
    <w:bookmarkStart w:id="36" w:name="X5077dc433e1da7ac35c89ed02c6fc33082866a4"/>
    <w:p>
      <w:pPr>
        <w:pStyle w:val="Heading3"/>
      </w:pPr>
      <w:r>
        <w:t xml:space="preserve">3.2 Energy Customization Data (Production Phase)</w:t>
      </w:r>
    </w:p>
    <w:p>
      <w:pPr>
        <w:pStyle w:val="FirstParagraph"/>
      </w:pPr>
      <w:r>
        <w:t xml:space="preserve">These parameters influence the Scope 2 (purchased electricity) and potentially Scope 1 (direct combustion, if any) emissions during manufacturing.</w:t>
      </w:r>
    </w:p>
    <w:p>
      <w:pPr>
        <w:numPr>
          <w:ilvl w:val="0"/>
          <w:numId w:val="1012"/>
        </w:numPr>
        <w:pStyle w:val="Compact"/>
      </w:pPr>
      <w:r>
        <w:rPr>
          <w:bCs/>
          <w:b/>
        </w:rPr>
        <w:t xml:space="preserve">Renewable Energy Usage (hpjtvoetej):</w:t>
      </w:r>
      <w:r>
        <w:t xml:space="preserve"> </w:t>
      </w:r>
      <w:r>
        <w:t xml:space="preserve">70% (Illustrative value assuming \'hpjtvoetej\' implies a percentage). This indicates that 70% of the purchased electricity comes from renewable sources, significantly reducing Scope 2 emissions.</w:t>
      </w:r>
    </w:p>
    <w:p>
      <w:pPr>
        <w:numPr>
          <w:ilvl w:val="0"/>
          <w:numId w:val="1012"/>
        </w:numPr>
        <w:pStyle w:val="Compact"/>
      </w:pPr>
      <w:r>
        <w:rPr>
          <w:bCs/>
          <w:b/>
        </w:rPr>
        <w:t xml:space="preserve">Energy Intensity (lgqmnfurtm):</w:t>
      </w:r>
      <w:r>
        <w:t xml:space="preserve"> </w:t>
      </w:r>
      <w:r>
        <w:t xml:space="preserve">5 kWh/unit (Illustrative value assuming \'lgqmnfurtm\' implies energy consumed per unit). This is the electricity required to produce one unit of nduewleerj.</w:t>
      </w:r>
    </w:p>
    <w:p>
      <w:pPr>
        <w:numPr>
          <w:ilvl w:val="0"/>
          <w:numId w:val="1012"/>
        </w:numPr>
        <w:pStyle w:val="Compact"/>
      </w:pPr>
      <w:r>
        <w:rPr>
          <w:bCs/>
          <w:b/>
        </w:rPr>
        <w:t xml:space="preserve">Grid Electricity Emission Factor (China):</w:t>
      </w:r>
      <w:r>
        <w:t xml:space="preserve"> </w:t>
      </w:r>
      <w:r>
        <w:t xml:space="preserve">0.6 kg CO2e/kWh (Illustrative industry average for non-renewable grid electricity in China, for calculation purposes. Actual factor may vary).</w:t>
      </w:r>
    </w:p>
    <w:bookmarkEnd w:id="36"/>
    <w:bookmarkStart w:id="37" w:name="logistics-data-transport-phase"/>
    <w:p>
      <w:pPr>
        <w:pStyle w:val="Heading3"/>
      </w:pPr>
      <w:r>
        <w:t xml:space="preserve">3.3 Logistics Data (Transport Phase)</w:t>
      </w:r>
    </w:p>
    <w:p>
      <w:pPr>
        <w:pStyle w:val="FirstParagraph"/>
      </w:pPr>
      <w:r>
        <w:t xml:space="preserve">These parameters are used to calculate Scope 3 (downstream) emissions from product distribution.</w:t>
      </w:r>
    </w:p>
    <w:p>
      <w:pPr>
        <w:numPr>
          <w:ilvl w:val="0"/>
          <w:numId w:val="1013"/>
        </w:numPr>
        <w:pStyle w:val="Compact"/>
      </w:pPr>
      <w:r>
        <w:rPr>
          <w:bCs/>
          <w:b/>
        </w:rPr>
        <w:t xml:space="preserve">Transport Mode (Select Mode):</w:t>
      </w:r>
      <w:r>
        <w:t xml:space="preserve"> </w:t>
      </w:r>
      <w:r>
        <w:t xml:space="preserve">Ocean Freight (Illustrative, assuming \'Select Mode\' refers to a common mode for international distribution from China to Europe).</w:t>
      </w:r>
    </w:p>
    <w:p>
      <w:pPr>
        <w:numPr>
          <w:ilvl w:val="0"/>
          <w:numId w:val="1013"/>
        </w:numPr>
        <w:pStyle w:val="Compact"/>
      </w:pPr>
      <w:r>
        <w:rPr>
          <w:bCs/>
          <w:b/>
        </w:rPr>
        <w:t xml:space="preserve">Transport Distance (jmhoxmqjyy):</w:t>
      </w:r>
      <w:r>
        <w:t xml:space="preserve"> </w:t>
      </w:r>
      <w:r>
        <w:t xml:space="preserve">15,000 km (Illustrative, representing a typical distance from China to Europe).</w:t>
      </w:r>
    </w:p>
    <w:p>
      <w:pPr>
        <w:numPr>
          <w:ilvl w:val="0"/>
          <w:numId w:val="1013"/>
        </w:numPr>
        <w:pStyle w:val="Compact"/>
      </w:pPr>
      <w:r>
        <w:rPr>
          <w:bCs/>
          <w:b/>
        </w:rPr>
        <w:t xml:space="preserve">Last-Mile Delivery Channel (Delivery Type):</w:t>
      </w:r>
      <w:r>
        <w:t xml:space="preserve"> </w:t>
      </w:r>
      <w:r>
        <w:t xml:space="preserve">Road Freight (Light Commercial Vehicle) for local distribution in Europe (Illustrative).</w:t>
      </w:r>
    </w:p>
    <w:p>
      <w:pPr>
        <w:numPr>
          <w:ilvl w:val="0"/>
          <w:numId w:val="1013"/>
        </w:numPr>
        <w:pStyle w:val="Compact"/>
      </w:pPr>
      <w:r>
        <w:rPr>
          <w:bCs/>
          <w:b/>
        </w:rPr>
        <w:t xml:space="preserve">Ocean Freight Emission Factor:</w:t>
      </w:r>
      <w:r>
        <w:t xml:space="preserve"> </w:t>
      </w:r>
      <w:r>
        <w:t xml:space="preserve">0.01 kg CO2e/tonne-km (Illustrative industry average).</w:t>
      </w:r>
    </w:p>
    <w:p>
      <w:pPr>
        <w:numPr>
          <w:ilvl w:val="0"/>
          <w:numId w:val="1013"/>
        </w:numPr>
        <w:pStyle w:val="Compact"/>
      </w:pPr>
      <w:r>
        <w:rPr>
          <w:bCs/>
          <w:b/>
        </w:rPr>
        <w:t xml:space="preserve">Road Freight Emission Factor (Light Commercial Vehicle):</w:t>
      </w:r>
      <w:r>
        <w:t xml:space="preserve"> </w:t>
      </w:r>
      <w:r>
        <w:t xml:space="preserve">0.15 kg CO2e/tonne-km (Illustrative industry average).</w:t>
      </w:r>
    </w:p>
    <w:p>
      <w:pPr>
        <w:numPr>
          <w:ilvl w:val="0"/>
          <w:numId w:val="1013"/>
        </w:numPr>
        <w:pStyle w:val="Compact"/>
      </w:pPr>
      <w:r>
        <w:rPr>
          <w:bCs/>
          <w:b/>
        </w:rPr>
        <w:t xml:space="preserve">Product Weight:</w:t>
      </w:r>
      <w:r>
        <w:t xml:space="preserve"> </w:t>
      </w:r>
      <w:r>
        <w:t xml:space="preserve">1.5 kg (Derived from BOM sum, for transport calculation).</w:t>
      </w:r>
    </w:p>
    <w:bookmarkEnd w:id="37"/>
    <w:bookmarkStart w:id="38" w:name="use-phase-data"/>
    <w:p>
      <w:pPr>
        <w:pStyle w:val="Heading3"/>
      </w:pPr>
      <w:r>
        <w:t xml:space="preserve">3.4 Use Phase Data</w:t>
      </w:r>
    </w:p>
    <w:p>
      <w:pPr>
        <w:pStyle w:val="FirstParagraph"/>
      </w:pPr>
      <w:r>
        <w:t xml:space="preserve">These parameters contribute to Scope 3 (downstream) emissions during the product\'s operational life.</w:t>
      </w:r>
    </w:p>
    <w:p>
      <w:pPr>
        <w:numPr>
          <w:ilvl w:val="0"/>
          <w:numId w:val="1014"/>
        </w:numPr>
        <w:pStyle w:val="Compact"/>
      </w:pPr>
      <w:r>
        <w:rPr>
          <w:bCs/>
          <w:b/>
        </w:rPr>
        <w:t xml:space="preserve">Product Lifespan (xfzzglrivi):</w:t>
      </w:r>
      <w:r>
        <w:t xml:space="preserve"> </w:t>
      </w:r>
      <w:r>
        <w:t xml:space="preserve">5 years (Illustrative, assuming \'xfzzglrivi\' refers to years).</w:t>
      </w:r>
    </w:p>
    <w:p>
      <w:pPr>
        <w:numPr>
          <w:ilvl w:val="0"/>
          <w:numId w:val="1014"/>
        </w:numPr>
        <w:pStyle w:val="Compact"/>
      </w:pPr>
      <w:r>
        <w:rPr>
          <w:bCs/>
          <w:b/>
        </w:rPr>
        <w:t xml:space="preserve">Energy Consumption in Use (jflpkvqgmj):</w:t>
      </w:r>
      <w:r>
        <w:t xml:space="preserve"> </w:t>
      </w:r>
      <w:r>
        <w:t xml:space="preserve">20 kWh/year (Illustrative, assuming \'jflpkvqgmj\' refers to annual consumption).</w:t>
      </w:r>
    </w:p>
    <w:p>
      <w:pPr>
        <w:numPr>
          <w:ilvl w:val="0"/>
          <w:numId w:val="1014"/>
        </w:numPr>
        <w:pStyle w:val="Compact"/>
      </w:pPr>
      <w:r>
        <w:rPr>
          <w:bCs/>
          <w:b/>
        </w:rPr>
        <w:t xml:space="preserve">Average Grid Electricity Emission Factor (Europe Focused):</w:t>
      </w:r>
      <w:r>
        <w:t xml:space="preserve"> </w:t>
      </w:r>
      <w:r>
        <w:t xml:space="preserve">0.25 kg CO2e/kWh (Illustrative industry average for European grid mix for calculation purposes).</w:t>
      </w:r>
    </w:p>
    <w:bookmarkEnd w:id="38"/>
    <w:bookmarkStart w:id="39" w:name="end-of-life-eol-scenarios"/>
    <w:p>
      <w:pPr>
        <w:pStyle w:val="Heading3"/>
      </w:pPr>
      <w:r>
        <w:t xml:space="preserve">3.5 End-of-Life (EoL) Scenarios</w:t>
      </w:r>
    </w:p>
    <w:p>
      <w:pPr>
        <w:pStyle w:val="FirstParagraph"/>
      </w:pPr>
      <w:r>
        <w:t xml:space="preserve">These parameters are used to assess Scope 3 (downstream) emissions and potential avoided emissions at the end of the product\'s life.</w:t>
      </w:r>
    </w:p>
    <w:p>
      <w:pPr>
        <w:numPr>
          <w:ilvl w:val="0"/>
          <w:numId w:val="1015"/>
        </w:numPr>
        <w:pStyle w:val="Compact"/>
      </w:pPr>
      <w:r>
        <w:rPr>
          <w:bCs/>
          <w:b/>
        </w:rPr>
        <w:t xml:space="preserve">Recyclability Percentage (rpwxzvthvz):</w:t>
      </w:r>
      <w:r>
        <w:t xml:space="preserve"> </w:t>
      </w:r>
      <w:r>
        <w:t xml:space="preserve">80% (Illustrative, assuming \'rpwxzvthvz\' refers to the percentage by mass).</w:t>
      </w:r>
    </w:p>
    <w:p>
      <w:pPr>
        <w:numPr>
          <w:ilvl w:val="0"/>
          <w:numId w:val="1015"/>
        </w:numPr>
        <w:pStyle w:val="Compact"/>
      </w:pPr>
      <w:r>
        <w:rPr>
          <w:bCs/>
          <w:b/>
        </w:rPr>
        <w:t xml:space="preserve">Circular/Take-back Programs (tpgvgxeyqo):</w:t>
      </w:r>
      <w:r>
        <w:t xml:space="preserve"> </w:t>
      </w:r>
      <w:r>
        <w:t xml:space="preserve">In place, with 20% of returned products assumed to be refurbished/reused, and 60% recycled (Illustrative, assuming \'tpgvgxeyqo\' implies active programs).</w:t>
      </w:r>
    </w:p>
    <w:p>
      <w:pPr>
        <w:numPr>
          <w:ilvl w:val="0"/>
          <w:numId w:val="1015"/>
        </w:numPr>
        <w:pStyle w:val="Compact"/>
      </w:pPr>
      <w:r>
        <w:rPr>
          <w:bCs/>
          <w:b/>
        </w:rPr>
        <w:t xml:space="preserve">Landfill Emission Factor:</w:t>
      </w:r>
      <w:r>
        <w:t xml:space="preserve"> </w:t>
      </w:r>
      <w:r>
        <w:t xml:space="preserve">0.5 kg CO2e/kg (Illustrative, for non-recycled waste).</w:t>
      </w:r>
    </w:p>
    <w:p>
      <w:pPr>
        <w:numPr>
          <w:ilvl w:val="0"/>
          <w:numId w:val="1015"/>
        </w:numPr>
        <w:pStyle w:val="Compact"/>
      </w:pPr>
      <w:r>
        <w:rPr>
          <w:bCs/>
          <w:b/>
        </w:rPr>
        <w:t xml:space="preserve">Recycling Credit/Avoided Emission Factor (average):</w:t>
      </w:r>
      <w:r>
        <w:t xml:space="preserve"> </w:t>
      </w:r>
      <w:r>
        <w:t xml:space="preserve">-0.8 kg CO2e/kg (Illustrative, representing emissions avoided by recycling materials compared to virgin production).</w:t>
      </w:r>
    </w:p>
    <w:p>
      <w:r>
        <w:pict>
          <v:rect style="width:0;height:1.5pt" o:hralign="center" o:hrstd="t" o:hr="t"/>
        </w:pict>
      </w:r>
    </w:p>
    <w:bookmarkEnd w:id="39"/>
    <w:bookmarkEnd w:id="40"/>
    <w:bookmarkStart w:id="53"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according to the GHG Protocol\'s Scope 1, 2, and 3 definitions. All calculations are performed for a functional unit of 1.0 unit of nduewleerj.</w:t>
      </w:r>
    </w:p>
    <w:bookmarkStart w:id="41" w:name="Xa5e05c0e793b2e3b8927cb1b228e81f97f2094b"/>
    <w:p>
      <w:pPr>
        <w:pStyle w:val="Heading3"/>
      </w:pPr>
      <w:r>
        <w:t xml:space="preserve">4.1 Scope 1 Emissions (Direct Emissions from Owned or Controlled Sources)</w:t>
      </w:r>
    </w:p>
    <w:p>
      <w:pPr>
        <w:pStyle w:val="FirstParagraph"/>
      </w:pPr>
      <w:r>
        <w:t xml:space="preserve">For a typical manufacturing process focused on purchased electricity, direct Scope 1 emissions might be minimal, primarily from on-site fuel combustion for heating or backup generators. Assuming minimal direct fuel combustion for this product\'s manufacturing process, specific Scope 1 emissions are considered negligible for this analysis without further data, but would typically include natural gas for boilers or diesel for generators.</w:t>
      </w:r>
    </w:p>
    <w:p>
      <w:pPr>
        <w:numPr>
          <w:ilvl w:val="0"/>
          <w:numId w:val="1016"/>
        </w:numPr>
        <w:pStyle w:val="Compact"/>
      </w:pPr>
      <w:r>
        <w:rPr>
          <w:bCs/>
          <w:b/>
        </w:rPr>
        <w:t xml:space="preserve">Estimated Scope 1 Emissions:</w:t>
      </w:r>
      <w:r>
        <w:t xml:space="preserve"> </w:t>
      </w:r>
      <w:r>
        <w:t xml:space="preserve">0.0 kg CO2e/unit (Illustrative, assuming negligible on-site direct fuel consumption for this product).</w:t>
      </w:r>
    </w:p>
    <w:bookmarkEnd w:id="41"/>
    <w:bookmarkStart w:id="42"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for the production facility in China.</w:t>
      </w:r>
    </w:p>
    <w:p>
      <w:pPr>
        <w:numPr>
          <w:ilvl w:val="0"/>
          <w:numId w:val="1017"/>
        </w:numPr>
        <w:pStyle w:val="Compact"/>
      </w:pPr>
      <w:r>
        <w:t xml:space="preserve">Total Energy Intensity: 5 kWh/unit (lgqmnfurtm)</w:t>
      </w:r>
    </w:p>
    <w:p>
      <w:pPr>
        <w:numPr>
          <w:ilvl w:val="0"/>
          <w:numId w:val="1017"/>
        </w:numPr>
        <w:pStyle w:val="Compact"/>
      </w:pPr>
      <w:r>
        <w:t xml:space="preserve">Renewable Energy Usage: 70% (hpjtvoetej)</w:t>
      </w:r>
    </w:p>
    <w:p>
      <w:pPr>
        <w:numPr>
          <w:ilvl w:val="0"/>
          <w:numId w:val="1017"/>
        </w:numPr>
        <w:pStyle w:val="Compact"/>
      </w:pPr>
      <w:r>
        <w:t xml:space="preserve">Non-Renewable Electricity Used: 5 kWh/unit * (1 - 0.70) = 1.5 kWh/unit</w:t>
      </w:r>
    </w:p>
    <w:p>
      <w:pPr>
        <w:numPr>
          <w:ilvl w:val="0"/>
          <w:numId w:val="1017"/>
        </w:numPr>
        <w:pStyle w:val="Compact"/>
      </w:pPr>
      <w:r>
        <w:t xml:space="preserve">Grid Electricity Emission Factor (China): 0.6 kg CO2e/kWh</w:t>
      </w:r>
    </w:p>
    <w:p>
      <w:pPr>
        <w:numPr>
          <w:ilvl w:val="0"/>
          <w:numId w:val="1017"/>
        </w:numPr>
        <w:pStyle w:val="Compact"/>
      </w:pPr>
      <w:r>
        <w:rPr>
          <w:bCs/>
          <w:b/>
        </w:rPr>
        <w:t xml:space="preserve">Calculated Scope 2 Emissions:</w:t>
      </w:r>
      <w:r>
        <w:t xml:space="preserve"> </w:t>
      </w:r>
      <w:r>
        <w:t xml:space="preserve">1.5 kWh/unit * 0.6 kg CO2e/kWh = 0.9 kg CO2e/unit</w:t>
      </w:r>
    </w:p>
    <w:bookmarkEnd w:id="42"/>
    <w:bookmarkStart w:id="49" w:name="Xfba9a0cf1430a71c12d1f705b4bd26e86bf0ddd"/>
    <w:p>
      <w:pPr>
        <w:pStyle w:val="Heading3"/>
      </w:pPr>
      <w:r>
        <w:t xml:space="preserve">4.3 Scope 3 Emissions (All Other Indirect Emissions in the Value Chain)</w:t>
      </w:r>
    </w:p>
    <w:p>
      <w:pPr>
        <w:pStyle w:val="FirstParagraph"/>
      </w:pPr>
      <w:r>
        <w:t xml:space="preserve">This category encompasses the most significant portion of a product\'s carbon footprint, covering upstream and downstream activities. We aim for 95% coverage as per 2026 requirements.</w:t>
      </w:r>
    </w:p>
    <w:bookmarkStart w:id="44" w:name="upstream-emissions"/>
    <w:p>
      <w:pPr>
        <w:pStyle w:val="Heading4"/>
      </w:pPr>
      <w:r>
        <w:t xml:space="preserve">4.3.1 Upstream Emissions</w:t>
      </w:r>
    </w:p>
    <w:bookmarkStart w:id="43" w:name="materials-acquisition-pre-processing"/>
    <w:p>
      <w:pPr>
        <w:pStyle w:val="Heading5"/>
      </w:pPr>
      <w:r>
        <w:t xml:space="preserve">4.3.1.1 Materials Acquisition &amp; Pre-processing</w:t>
      </w:r>
    </w:p>
    <w:p>
      <w:pPr>
        <w:pStyle w:val="FirstParagraph"/>
      </w:pPr>
      <w:r>
        <w:t xml:space="preserve">Based on the illustrative Detailed Bill of Materials (BOM) in Section 3.1.</w:t>
      </w:r>
    </w:p>
    <w:p>
      <w:pPr>
        <w:numPr>
          <w:ilvl w:val="0"/>
          <w:numId w:val="1018"/>
        </w:numPr>
        <w:pStyle w:val="Compact"/>
      </w:pPr>
      <w:r>
        <w:rPr>
          <w:bCs/>
          <w:b/>
        </w:rPr>
        <w:t xml:space="preserve">Total Material Emissions (from BOM table):</w:t>
      </w:r>
      <w:r>
        <w:t xml:space="preserve"> </w:t>
      </w:r>
      <w:r>
        <w:t xml:space="preserve">10.02 kg CO2e/unit</w:t>
      </w:r>
    </w:p>
    <w:bookmarkEnd w:id="43"/>
    <w:bookmarkEnd w:id="44"/>
    <w:bookmarkStart w:id="48" w:name="downstream-emissions"/>
    <w:p>
      <w:pPr>
        <w:pStyle w:val="Heading4"/>
      </w:pPr>
      <w:r>
        <w:t xml:space="preserve">4.3.2 Downstream Emissions</w:t>
      </w:r>
    </w:p>
    <w:bookmarkStart w:id="45" w:name="transport-distribution-to-customer"/>
    <w:p>
      <w:pPr>
        <w:pStyle w:val="Heading5"/>
      </w:pPr>
      <w:r>
        <w:t xml:space="preserve">4.3.2.1 Transport (Distribution to Customer)</w:t>
      </w:r>
    </w:p>
    <w:p>
      <w:pPr>
        <w:pStyle w:val="FirstParagraph"/>
      </w:pPr>
      <w:r>
        <w:t xml:space="preserve">Assuming product weight of 1.5 kg and distribution from China to Europe (15,000 km ocean freight) followed by 500 km last-mile road freight.</w:t>
      </w:r>
    </w:p>
    <w:p>
      <w:pPr>
        <w:numPr>
          <w:ilvl w:val="0"/>
          <w:numId w:val="1019"/>
        </w:numPr>
        <w:pStyle w:val="Compact"/>
      </w:pPr>
      <w:r>
        <w:t xml:space="preserve">Ocean Freight Emissions: 1.5 kg (product) * (1 tonne / 1000 kg) * 15,000 km * 0.01 kg CO2e/tonne-km = 0.225 kg CO2e/unit</w:t>
      </w:r>
    </w:p>
    <w:p>
      <w:pPr>
        <w:numPr>
          <w:ilvl w:val="0"/>
          <w:numId w:val="1019"/>
        </w:numPr>
        <w:pStyle w:val="Compact"/>
      </w:pPr>
      <w:r>
        <w:t xml:space="preserve">Road Freight Emissions (last-mile): 1.5 kg (product) * (1 tonne / 1000 kg) * 500 km * 0.15 kg CO2e/tonne-km = 0.1125 kg CO2e/unit</w:t>
      </w:r>
    </w:p>
    <w:p>
      <w:pPr>
        <w:numPr>
          <w:ilvl w:val="0"/>
          <w:numId w:val="1019"/>
        </w:numPr>
        <w:pStyle w:val="Compact"/>
      </w:pPr>
      <w:r>
        <w:rPr>
          <w:bCs/>
          <w:b/>
        </w:rPr>
        <w:t xml:space="preserve">Total Transport Emissions:</w:t>
      </w:r>
      <w:r>
        <w:t xml:space="preserve"> </w:t>
      </w:r>
      <w:r>
        <w:t xml:space="preserve">0.225 + 0.1125 = 0.3375 kg CO2e/unit</w:t>
      </w:r>
    </w:p>
    <w:bookmarkEnd w:id="45"/>
    <w:bookmarkStart w:id="46" w:name="use-phase"/>
    <w:p>
      <w:pPr>
        <w:pStyle w:val="Heading5"/>
      </w:pPr>
      <w:r>
        <w:t xml:space="preserve">4.3.2.2 Use Phase</w:t>
      </w:r>
    </w:p>
    <w:p>
      <w:pPr>
        <w:pStyle w:val="FirstParagraph"/>
      </w:pPr>
      <w:r>
        <w:t xml:space="preserve">Based on a lifespan of 5 years and annual energy consumption, using a European grid mix factor.</w:t>
      </w:r>
    </w:p>
    <w:p>
      <w:pPr>
        <w:numPr>
          <w:ilvl w:val="0"/>
          <w:numId w:val="1020"/>
        </w:numPr>
        <w:pStyle w:val="Compact"/>
      </w:pPr>
      <w:r>
        <w:t xml:space="preserve">Product Lifespan: 5 years (xfzzglrivi)</w:t>
      </w:r>
    </w:p>
    <w:p>
      <w:pPr>
        <w:numPr>
          <w:ilvl w:val="0"/>
          <w:numId w:val="1020"/>
        </w:numPr>
        <w:pStyle w:val="Compact"/>
      </w:pPr>
      <w:r>
        <w:t xml:space="preserve">Energy Consumption in Use: 20 kWh/year (jflpkvqgmj)</w:t>
      </w:r>
    </w:p>
    <w:p>
      <w:pPr>
        <w:numPr>
          <w:ilvl w:val="0"/>
          <w:numId w:val="1020"/>
        </w:numPr>
        <w:pStyle w:val="Compact"/>
      </w:pPr>
      <w:r>
        <w:t xml:space="preserve">Total Energy Consumption over Lifespan: 20 kWh/year * 5 years = 100 kWh/unit</w:t>
      </w:r>
    </w:p>
    <w:p>
      <w:pPr>
        <w:numPr>
          <w:ilvl w:val="0"/>
          <w:numId w:val="1020"/>
        </w:numPr>
        <w:pStyle w:val="Compact"/>
      </w:pPr>
      <w:r>
        <w:t xml:space="preserve">Average Grid Electricity Emission Factor (Europe): 0.25 kg CO2e/kWh</w:t>
      </w:r>
    </w:p>
    <w:p>
      <w:pPr>
        <w:numPr>
          <w:ilvl w:val="0"/>
          <w:numId w:val="1020"/>
        </w:numPr>
        <w:pStyle w:val="Compact"/>
      </w:pPr>
      <w:r>
        <w:rPr>
          <w:bCs/>
          <w:b/>
        </w:rPr>
        <w:t xml:space="preserve">Calculated Use Phase Emissions:</w:t>
      </w:r>
      <w:r>
        <w:t xml:space="preserve"> </w:t>
      </w:r>
      <w:r>
        <w:t xml:space="preserve">100 kWh/unit * 0.25 kg CO2e/kWh = 25.0 kg CO2e/unit</w:t>
      </w:r>
    </w:p>
    <w:bookmarkEnd w:id="46"/>
    <w:bookmarkStart w:id="47" w:name="end-of-life-eol"/>
    <w:p>
      <w:pPr>
        <w:pStyle w:val="Heading5"/>
      </w:pPr>
      <w:r>
        <w:t xml:space="preserve">4.3.2.3 End-of-Life (EoL)</w:t>
      </w:r>
    </w:p>
    <w:p>
      <w:pPr>
        <w:pStyle w:val="FirstParagraph"/>
      </w:pPr>
      <w:r>
        <w:t xml:space="preserve">Considering recyclability and circular programs, accounting for potential avoided emissions (credits).</w:t>
      </w:r>
    </w:p>
    <w:p>
      <w:pPr>
        <w:numPr>
          <w:ilvl w:val="0"/>
          <w:numId w:val="1021"/>
        </w:numPr>
        <w:pStyle w:val="Compact"/>
      </w:pPr>
      <w:r>
        <w:t xml:space="preserve">Product Weight: 1.5 kg/unit</w:t>
      </w:r>
    </w:p>
    <w:p>
      <w:pPr>
        <w:numPr>
          <w:ilvl w:val="0"/>
          <w:numId w:val="1021"/>
        </w:numPr>
        <w:pStyle w:val="Compact"/>
      </w:pPr>
      <w:r>
        <w:t xml:space="preserve">Recyclability Percentage: 80% (rpwxzvthvz)</w:t>
      </w:r>
    </w:p>
    <w:p>
      <w:pPr>
        <w:numPr>
          <w:ilvl w:val="0"/>
          <w:numId w:val="1021"/>
        </w:numPr>
        <w:pStyle w:val="Compact"/>
      </w:pPr>
      <w:r>
        <w:t xml:space="preserve">Circular Programs: 20% refurbishment, 60% recycling, 20% landfill (based on \'tpgvgxeyqo\' interpretation).</w:t>
      </w:r>
    </w:p>
    <w:p>
      <w:pPr>
        <w:numPr>
          <w:ilvl w:val="1"/>
          <w:numId w:val="1022"/>
        </w:numPr>
        <w:pStyle w:val="Compact"/>
      </w:pPr>
      <w:r>
        <w:t xml:space="preserve">Mass to Refurbishment/Reuse: 1.5 kg * 0.20 = 0.3 kg</w:t>
      </w:r>
    </w:p>
    <w:p>
      <w:pPr>
        <w:numPr>
          <w:ilvl w:val="1"/>
          <w:numId w:val="1022"/>
        </w:numPr>
        <w:pStyle w:val="Compact"/>
      </w:pPr>
      <w:r>
        <w:t xml:space="preserve">Mass to Recycling: 1.5 kg * 0.60 = 0.9 kg</w:t>
      </w:r>
    </w:p>
    <w:p>
      <w:pPr>
        <w:numPr>
          <w:ilvl w:val="1"/>
          <w:numId w:val="1022"/>
        </w:numPr>
        <w:pStyle w:val="Compact"/>
      </w:pPr>
      <w:r>
        <w:t xml:space="preserve">Mass to Landfill: 1.5 kg * 0.20 = 0.3 kg</w:t>
      </w:r>
    </w:p>
    <w:p>
      <w:pPr>
        <w:numPr>
          <w:ilvl w:val="0"/>
          <w:numId w:val="1021"/>
        </w:numPr>
        <w:pStyle w:val="Compact"/>
      </w:pPr>
      <w:r>
        <w:t xml:space="preserve">Emissions from Landfill: 0.3 kg * 0.5 kg CO2e/kg = 0.15 kg CO2e/unit</w:t>
      </w:r>
    </w:p>
    <w:p>
      <w:pPr>
        <w:numPr>
          <w:ilvl w:val="0"/>
          <w:numId w:val="1021"/>
        </w:numPr>
        <w:pStyle w:val="Compact"/>
      </w:pPr>
      <w:r>
        <w:t xml:space="preserve">Avoided Emissions from Recycling (Credit): 0.9 kg * -0.8 kg CO2e/kg = -0.72 kg CO2e/unit (negative value indicates a reduction/credit)</w:t>
      </w:r>
    </w:p>
    <w:p>
      <w:pPr>
        <w:numPr>
          <w:ilvl w:val="0"/>
          <w:numId w:val="1021"/>
        </w:numPr>
        <w:pStyle w:val="Compact"/>
      </w:pPr>
      <w:r>
        <w:t xml:space="preserve">Refurbishment/Reuse: Assuming avoided emissions from new production are captured within system boundary. For simplicity, we assume zero direct emissions at this stage for the returned product, and the benefit is implicitly handled as avoided primary production in wider LCA, not directly calculated as credit here for "factory_gate" scope extension.</w:t>
      </w:r>
    </w:p>
    <w:p>
      <w:pPr>
        <w:numPr>
          <w:ilvl w:val="0"/>
          <w:numId w:val="1021"/>
        </w:numPr>
        <w:pStyle w:val="Compact"/>
      </w:pPr>
      <w:r>
        <w:rPr>
          <w:bCs/>
          <w:b/>
        </w:rPr>
        <w:t xml:space="preserve">Total End-of-Life Emissions (Net):</w:t>
      </w:r>
      <w:r>
        <w:t xml:space="preserve"> </w:t>
      </w:r>
      <w:r>
        <w:t xml:space="preserve">0.15 kg CO2e/unit - 0.72 kg CO2e/unit = -0.57 kg CO2e/unit (Net credit)</w:t>
      </w:r>
    </w:p>
    <w:bookmarkEnd w:id="47"/>
    <w:bookmarkEnd w:id="48"/>
    <w:bookmarkEnd w:id="49"/>
    <w:bookmarkStart w:id="52" w:name="X299a3717db401fbc63eac38de0814f3ad8939f4"/>
    <w:p>
      <w:pPr>
        <w:pStyle w:val="Heading3"/>
      </w:pPr>
      <w:r>
        <w:t xml:space="preserve">4.4 Total Product Carbon Footprint (PCF) Summary</w:t>
      </w:r>
    </w:p>
    <w:p>
      <w:pPr>
        <w:pStyle w:val="FirstParagraph"/>
      </w:pPr>
      <w:r>
        <w:t xml:space="preserve">Combining all calculated emissions for 1.0 unit of nduewleerj.</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10.02</w:t>
            </w:r>
          </w:p>
        </w:tc>
      </w:tr>
      <w:tr>
        <w:tc>
          <w:tcPr/>
          <w:p>
            <w:pPr>
              <w:pStyle w:val="Compact"/>
              <w:jc w:val="left"/>
            </w:pPr>
            <w:r>
              <w:t xml:space="preserve">Production (Manufacturing)</w:t>
            </w:r>
          </w:p>
        </w:tc>
        <w:tc>
          <w:tcPr/>
          <w:p>
            <w:pPr>
              <w:pStyle w:val="Compact"/>
              <w:jc w:val="left"/>
            </w:pPr>
            <w:r>
              <w:t xml:space="preserve">Scope 2 (Purchased Electricity)</w:t>
            </w:r>
          </w:p>
        </w:tc>
        <w:tc>
          <w:tcPr/>
          <w:p>
            <w:pPr>
              <w:pStyle w:val="Compact"/>
              <w:jc w:val="left"/>
            </w:pPr>
            <w:r>
              <w:t xml:space="preserve">0.9</w:t>
            </w:r>
          </w:p>
        </w:tc>
      </w:tr>
      <w:tr>
        <w:tc>
          <w:tcPr/>
          <w:p>
            <w:pPr>
              <w:pStyle w:val="Compact"/>
              <w:jc w:val="left"/>
            </w:pPr>
            <w:r>
              <w:t xml:space="preserve">Transport (Distribution)</w:t>
            </w:r>
          </w:p>
        </w:tc>
        <w:tc>
          <w:tcPr/>
          <w:p>
            <w:pPr>
              <w:pStyle w:val="Compact"/>
              <w:jc w:val="left"/>
            </w:pPr>
            <w:r>
              <w:t xml:space="preserve">Scope 3 (Downstream)</w:t>
            </w:r>
          </w:p>
        </w:tc>
        <w:tc>
          <w:tcPr/>
          <w:p>
            <w:pPr>
              <w:pStyle w:val="Compact"/>
              <w:jc w:val="left"/>
            </w:pPr>
            <w:r>
              <w:t xml:space="preserve">0.34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-0.57</w:t>
            </w:r>
          </w:p>
        </w:tc>
      </w:tr>
      <w:tr>
        <w:tc>
          <w:tcPr>
            <w:gridSpan w:val="2"/>
          </w:tcPr>
          <w:p>
            <w:pPr>
              <w:pStyle w:val="Compact"/>
              <w:jc w:val="right"/>
            </w:pPr>
            <w:r>
              <w:t xml:space="preserve">TOTAL PCF</w:t>
            </w:r>
          </w:p>
        </w:tc>
        <w:tc>
          <w:tcPr/>
          <w:p>
            <w:pPr>
              <w:pStyle w:val="Compact"/>
              <w:jc w:val="left"/>
            </w:pPr>
            <w:r>
              <w:t xml:space="preserve">35.69</w:t>
            </w:r>
          </w:p>
        </w:tc>
      </w:tr>
    </w:tbl>
    <w:p>
      <w:pPr>
        <w:pStyle w:val="BodyText"/>
      </w:pPr>
      <w:r>
        <w:rPr>
          <w:bCs/>
          <w:b/>
        </w:rPr>
        <w:t xml:space="preserve">Total Product Carbon Footprint for nduewleerj: 35.69 kg CO2e per unit.</w:t>
      </w:r>
    </w:p>
    <w:bookmarkStart w:id="50" w:name="ghg-protocol-scopes-breakdown"/>
    <w:p>
      <w:pPr>
        <w:pStyle w:val="Heading4"/>
      </w:pPr>
      <w:r>
        <w:t xml:space="preserve">4.4.1 GHG Protocol Scopes Breakdown</w:t>
      </w:r>
    </w:p>
    <w:p>
      <w:pPr>
        <w:numPr>
          <w:ilvl w:val="0"/>
          <w:numId w:val="1023"/>
        </w:numPr>
        <w:pStyle w:val="Compact"/>
      </w:pPr>
      <w:r>
        <w:rPr>
          <w:bCs/>
          <w:b/>
        </w:rPr>
        <w:t xml:space="preserve">Scope 1 Emissions:</w:t>
      </w:r>
      <w:r>
        <w:t xml:space="preserve"> </w:t>
      </w:r>
      <w:r>
        <w:t xml:space="preserve">0.0 kg CO2e/unit (Illustrative)</w:t>
      </w:r>
    </w:p>
    <w:p>
      <w:pPr>
        <w:numPr>
          <w:ilvl w:val="0"/>
          <w:numId w:val="1023"/>
        </w:numPr>
        <w:pStyle w:val="Compact"/>
      </w:pPr>
      <w:r>
        <w:rPr>
          <w:bCs/>
          <w:b/>
        </w:rPr>
        <w:t xml:space="preserve">Scope 2 Emissions:</w:t>
      </w:r>
      <w:r>
        <w:t xml:space="preserve"> </w:t>
      </w:r>
      <w:r>
        <w:t xml:space="preserve">0.9 kg CO2e/unit</w:t>
      </w:r>
    </w:p>
    <w:p>
      <w:pPr>
        <w:numPr>
          <w:ilvl w:val="0"/>
          <w:numId w:val="1023"/>
        </w:numPr>
        <w:pStyle w:val="Compact"/>
      </w:pPr>
      <w:r>
        <w:rPr>
          <w:bCs/>
          <w:b/>
        </w:rPr>
        <w:t xml:space="preserve">Scope 3 Emissions:</w:t>
      </w:r>
      <w:r>
        <w:t xml:space="preserve"> </w:t>
      </w:r>
      <w:r>
        <w:t xml:space="preserve">(10.02 + 0.34 + 25.0 - 0.57) = 34.79 kg CO2e/unit</w:t>
      </w:r>
    </w:p>
    <w:p>
      <w:pPr>
        <w:pStyle w:val="FirstParagraph"/>
      </w:pPr>
      <w:r>
        <w:t xml:space="preserve">The analysis demonstrates that Scope 3 emissions, particularly from the Use Phase and Materials Acquisition, constitute the overwhelming majority of the product\'s carbon footprint, fulfilling the requirement for significant Scope 3 coverage.</w:t>
      </w:r>
    </w:p>
    <w:bookmarkEnd w:id="50"/>
    <w:bookmarkStart w:id="51" w:name="lsr-update-application"/>
    <w:p>
      <w:pPr>
        <w:pStyle w:val="Heading4"/>
      </w:pPr>
      <w:r>
        <w:t xml:space="preserve">4.4.2 2026 LSR Update Application</w:t>
      </w:r>
    </w:p>
    <w:p>
      <w:pPr>
        <w:pStyle w:val="FirstParagraph"/>
      </w:pPr>
      <w:r>
        <w:t xml:space="preserve">The Land Sector and Removals (LSR) Standard for land use and carbon removals has been considered in this report. While detailed quantification requires specific land use change data, the principle of accounting for biogenic carbon flows, land-based removals, and emissions from land use change is acknowledged. The current \'factory_gate\' system boundary extension to \'cradle-to-grave\' captures direct material emissions; further granularity for land-use impacts of specific raw materials would require extensive supply chain data, which is beyond the scope of this illustrative analysis.</w:t>
      </w:r>
    </w:p>
    <w:p>
      <w:r>
        <w:pict>
          <v:rect style="width:0;height:1.5pt" o:hralign="center" o:hrstd="t" o:hr="t"/>
        </w:pict>
      </w:r>
    </w:p>
    <w:bookmarkEnd w:id="51"/>
    <w:bookmarkEnd w:id="52"/>
    <w:bookmarkEnd w:id="53"/>
    <w:bookmarkStart w:id="57" w:name="review-report"/>
    <w:p>
      <w:pPr>
        <w:pStyle w:val="Heading2"/>
      </w:pPr>
      <w:r>
        <w:t xml:space="preserve">5. Review &amp; Report</w:t>
      </w:r>
    </w:p>
    <w:bookmarkStart w:id="54" w:name="hotspot-identification"/>
    <w:p>
      <w:pPr>
        <w:pStyle w:val="Heading3"/>
      </w:pPr>
      <w:r>
        <w:t xml:space="preserve">5.1 Hotspot Identification</w:t>
      </w:r>
    </w:p>
    <w:p>
      <w:pPr>
        <w:pStyle w:val="FirstParagraph"/>
      </w:pPr>
      <w:r>
        <w:t xml:space="preserve">Based on the calculations, the primary hotspots for nduewleerj\'s carbon footprint are:</w:t>
      </w:r>
    </w:p>
    <w:p>
      <w:pPr>
        <w:numPr>
          <w:ilvl w:val="0"/>
          <w:numId w:val="1024"/>
        </w:numPr>
        <w:pStyle w:val="Compact"/>
      </w:pPr>
      <w:r>
        <w:rPr>
          <w:bCs/>
          <w:b/>
        </w:rPr>
        <w:t xml:space="preserve">Use Phase (25.0 kg CO2e):</w:t>
      </w:r>
      <w:r>
        <w:t xml:space="preserve"> </w:t>
      </w:r>
      <w:r>
        <w:t xml:space="preserve">This is the dominant contributor, representing approximately 70% of the total PCF. This highlights the critical importance of energy efficiency during the product\'s operational life.</w:t>
      </w:r>
    </w:p>
    <w:p>
      <w:pPr>
        <w:numPr>
          <w:ilvl w:val="0"/>
          <w:numId w:val="1024"/>
        </w:numPr>
        <w:pStyle w:val="Compact"/>
      </w:pPr>
      <w:r>
        <w:rPr>
          <w:bCs/>
          <w:b/>
        </w:rPr>
        <w:t xml:space="preserve">Materials Acquisition &amp; Pre-processing (10.02 kg CO2e):</w:t>
      </w:r>
      <w:r>
        <w:t xml:space="preserve"> </w:t>
      </w:r>
      <w:r>
        <w:t xml:space="preserve">This stage accounts for approximately 28% of the total PCF, indicating that material selection and upstream supply chain emissions are significant.</w:t>
      </w:r>
    </w:p>
    <w:p>
      <w:pPr>
        <w:numPr>
          <w:ilvl w:val="0"/>
          <w:numId w:val="1024"/>
        </w:numPr>
        <w:pStyle w:val="Compact"/>
      </w:pPr>
      <w:r>
        <w:t xml:space="preserve">Other stages (Production, Transport, End-of-Life) contribute a smaller but still relevant portion, with End-of-Life showing a net credit due to high recyclability.</w:t>
      </w:r>
    </w:p>
    <w:bookmarkEnd w:id="54"/>
    <w:bookmarkStart w:id="55"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Key limitations include:</w:t>
      </w:r>
    </w:p>
    <w:p>
      <w:pPr>
        <w:numPr>
          <w:ilvl w:val="0"/>
          <w:numId w:val="1025"/>
        </w:numPr>
        <w:pStyle w:val="Compact"/>
      </w:pPr>
      <w:r>
        <w:rPr>
          <w:bCs/>
          <w:b/>
        </w:rPr>
        <w:t xml:space="preserve">Illustrative Data:</w:t>
      </w:r>
      <w:r>
        <w:t xml:space="preserve"> </w:t>
      </w:r>
      <w:r>
        <w:t xml:space="preserve">Many parameters (BOM, transport, energy usage, lifespan) were provided as variable names (e.g., xgwdkzkz, jmhoxmqjyy) and required the use of illustrative, placeholder values. Actual primary data from qporguhvpw and its supply chain would significantly enhance the accuracy.</w:t>
      </w:r>
    </w:p>
    <w:p>
      <w:pPr>
        <w:numPr>
          <w:ilvl w:val="0"/>
          <w:numId w:val="1025"/>
        </w:numPr>
        <w:pStyle w:val="Compact"/>
      </w:pPr>
      <w:r>
        <w:rPr>
          <w:bCs/>
          <w:b/>
        </w:rPr>
        <w:t xml:space="preserve">Emission Factors:</w:t>
      </w:r>
      <w:r>
        <w:t xml:space="preserve"> </w:t>
      </w:r>
      <w:r>
        <w:t xml:space="preserve">Generic industry-average emission factors were used due to the lack of specific primary data for each material, process, and transport mode. While these provide a good estimate, product-specific and supplier-specific emission factors would yield higher precision.</w:t>
      </w:r>
    </w:p>
    <w:p>
      <w:pPr>
        <w:numPr>
          <w:ilvl w:val="0"/>
          <w:numId w:val="1025"/>
        </w:numPr>
        <w:pStyle w:val="Compact"/>
      </w:pPr>
      <w:r>
        <w:rPr>
          <w:bCs/>
          <w:b/>
        </w:rPr>
        <w:t xml:space="preserve">System Boundary Interpretation:</w:t>
      </w:r>
      <w:r>
        <w:t xml:space="preserve"> </w:t>
      </w:r>
      <w:r>
        <w:t xml:space="preserve">While aiming for "cradle-to-grave" by extending the "factory_gate" scope, the depth of data for downstream stages relies on generalized assumptions.</w:t>
      </w:r>
    </w:p>
    <w:p>
      <w:pPr>
        <w:numPr>
          <w:ilvl w:val="0"/>
          <w:numId w:val="1025"/>
        </w:numPr>
        <w:pStyle w:val="Compact"/>
      </w:pPr>
      <w:r>
        <w:rPr>
          <w:bCs/>
          <w:b/>
        </w:rPr>
        <w:t xml:space="preserve">LSR Standard:</w:t>
      </w:r>
      <w:r>
        <w:t xml:space="preserve"> </w:t>
      </w:r>
      <w:r>
        <w:t xml:space="preserve">Application of the 2026 LSR Standard is qualitative in this report; detailed quantitative assessment requires specific land use and carbon removal data not available in this generalized input.</w:t>
      </w:r>
    </w:p>
    <w:p>
      <w:pPr>
        <w:numPr>
          <w:ilvl w:val="0"/>
          <w:numId w:val="1025"/>
        </w:numPr>
        <w:pStyle w:val="Compact"/>
      </w:pPr>
      <w:r>
        <w:rPr>
          <w:bCs/>
          <w:b/>
        </w:rPr>
        <w:t xml:space="preserve">95% Scope 3 Coverage:</w:t>
      </w:r>
      <w:r>
        <w:t xml:space="preserve"> </w:t>
      </w:r>
      <w:r>
        <w:t xml:space="preserve">The analysis covers major Scope 3 categories (purchased goods/services, transport, use phase, EoL). Achieving exact 95% coverage would necessitate a comprehensive screening across all 15 Scope 3 categories and precise data for each, which is beyond the scope of this initial assessment using provided parameters.</w:t>
      </w:r>
    </w:p>
    <w:bookmarkEnd w:id="55"/>
    <w:bookmarkStart w:id="56" w:name="Xfcd85616239d3c8f9b81ef8aa451cf882883c2a"/>
    <w:p>
      <w:pPr>
        <w:pStyle w:val="Heading3"/>
      </w:pPr>
      <w:r>
        <w:t xml:space="preserve">5.3 Recommendations for Reduction and Improvement</w:t>
      </w:r>
    </w:p>
    <w:p>
      <w:pPr>
        <w:numPr>
          <w:ilvl w:val="0"/>
          <w:numId w:val="1026"/>
        </w:numPr>
        <w:pStyle w:val="Compact"/>
      </w:pPr>
      <w:r>
        <w:rPr>
          <w:bCs/>
          <w:b/>
        </w:rPr>
        <w:t xml:space="preserve">Energy Efficiency in Use Phase:</w:t>
      </w:r>
      <w:r>
        <w:t xml:space="preserve"> </w:t>
      </w:r>
      <w:r>
        <w:t xml:space="preserve">Investigate opportunities to significantly reduce the energy consumption of nduewleerj during its operational life. This could include design optimizations, power management features, or providing guidance to users on efficient operation.</w:t>
      </w:r>
    </w:p>
    <w:p>
      <w:pPr>
        <w:numPr>
          <w:ilvl w:val="0"/>
          <w:numId w:val="1026"/>
        </w:numPr>
        <w:pStyle w:val="Compact"/>
      </w:pPr>
      <w:r>
        <w:rPr>
          <w:bCs/>
          <w:b/>
        </w:rPr>
        <w:t xml:space="preserve">Sustainable Material Sourcing:</w:t>
      </w:r>
      <w:r>
        <w:t xml:space="preserve"> </w:t>
      </w:r>
      <w:r>
        <w:t xml:space="preserve">Explore alternative materials with lower embodied carbon, focusing on high-impact components identified in the BOM (e.g., aluminum, plastics, batteries). Engage with suppliers to obtain product-specific environmental declarations (EPDs) and encourage the use of recycled content.</w:t>
      </w:r>
    </w:p>
    <w:p>
      <w:pPr>
        <w:numPr>
          <w:ilvl w:val="0"/>
          <w:numId w:val="1026"/>
        </w:numPr>
        <w:pStyle w:val="Compact"/>
      </w:pPr>
      <w:r>
        <w:rPr>
          <w:bCs/>
          <w:b/>
        </w:rPr>
        <w:t xml:space="preserve">Renewable Energy Adoption:</w:t>
      </w:r>
      <w:r>
        <w:t xml:space="preserve"> </w:t>
      </w:r>
      <w:r>
        <w:t xml:space="preserve">Increase the percentage of renewable energy used in production beyond the current 70% (hpjtvoetej), potentially through on-site generation or higher-quality renewable energy credits.</w:t>
      </w:r>
    </w:p>
    <w:p>
      <w:pPr>
        <w:numPr>
          <w:ilvl w:val="0"/>
          <w:numId w:val="1026"/>
        </w:numPr>
        <w:pStyle w:val="Compact"/>
      </w:pPr>
      <w:r>
        <w:rPr>
          <w:bCs/>
          <w:b/>
        </w:rPr>
        <w:t xml:space="preserve">Supply Chain Optimization:</w:t>
      </w:r>
      <w:r>
        <w:t xml:space="preserve"> </w:t>
      </w:r>
      <w:r>
        <w:t xml:space="preserve">Investigate transport routes, modes, and logistics partners to identify opportunities for reducing fuel consumption and emissions, especially for modes like "Select Mode" and "Delivery Type".</w:t>
      </w:r>
    </w:p>
    <w:p>
      <w:pPr>
        <w:numPr>
          <w:ilvl w:val="0"/>
          <w:numId w:val="1026"/>
        </w:numPr>
        <w:pStyle w:val="Compact"/>
      </w:pPr>
      <w:r>
        <w:rPr>
          <w:bCs/>
          <w:b/>
        </w:rPr>
        <w:t xml:space="preserve">Enhance Circularity:</w:t>
      </w:r>
      <w:r>
        <w:t xml:space="preserve"> </w:t>
      </w:r>
      <w:r>
        <w:t xml:space="preserve">Leverage and expand circular/take-back programs (tpgvgxeyqo) to maximize refurbishment, reuse, and high-quality recycling, further increasing avoided emissions at End-of-Life. Explore design for disassembly and modularity.</w:t>
      </w:r>
    </w:p>
    <w:p>
      <w:pPr>
        <w:numPr>
          <w:ilvl w:val="0"/>
          <w:numId w:val="1026"/>
        </w:numPr>
        <w:pStyle w:val="Compact"/>
      </w:pPr>
      <w:r>
        <w:rPr>
          <w:bCs/>
          <w:b/>
        </w:rPr>
        <w:t xml:space="preserve">Data Improvement:</w:t>
      </w:r>
      <w:r>
        <w:t xml:space="preserve"> </w:t>
      </w:r>
      <w:r>
        <w:t xml:space="preserve">Implement systems for collecting more specific primary data for BOM items, energy consumption, and transport activities across the value chain to improve the accuracy of future PCF analyses.</w:t>
      </w:r>
    </w:p>
    <w:p>
      <w:r>
        <w:pict>
          <v:rect style="width:0;height:1.5pt" o:hralign="center" o:hrstd="t" o:hr="t"/>
        </w:pict>
      </w:r>
    </w:p>
    <w:p>
      <w:pPr>
        <w:pStyle w:val="FirstParagraph"/>
      </w:pPr>
      <w:r>
        <w:t xml:space="preserve">Confidential - Internal Use Only</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nduewleerj</dc:title>
  <dc:creator/>
  <dc:description>Detailed Product Carbon Footprint (PCF) analysis for nduewleerj by Senior Sustainability Consultant zwgltvxvde for qporguhvpw, adhering to GHG Protocol and 2026 LSR updates.</dc:description>
  <cp:keywords/>
  <dcterms:created xsi:type="dcterms:W3CDTF">2026-05-30T18:32:32Z</dcterms:created>
  <dcterms:modified xsi:type="dcterms:W3CDTF">2026-05-30T18:32:32Z</dcterms:modified>
</cp:coreProperties>
</file>

<file path=docProps/custom.xml><?xml version="1.0" encoding="utf-8"?>
<Properties xmlns="http://schemas.openxmlformats.org/officeDocument/2006/custom-properties" xmlns:vt="http://schemas.openxmlformats.org/officeDocument/2006/docPropsVTypes"/>
</file>