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ndtzmexkxg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ndtzmexkxg"/>
    <w:p>
      <w:pPr>
        <w:pStyle w:val="Heading2"/>
      </w:pPr>
      <w:r>
        <w:t xml:space="preserve">For Product: ndtzmexkxg</w:t>
      </w:r>
    </w:p>
    <w:p>
      <w:pPr>
        <w:pStyle w:val="FirstParagraph"/>
      </w:pPr>
      <w:r>
        <w:rPr>
          <w:bCs/>
          <w:b/>
        </w:rPr>
        <w:t xml:space="preserve">Company Name:</w:t>
      </w:r>
      <w:r>
        <w:t xml:space="preserve"> </w:t>
      </w:r>
      <w:r>
        <w:t xml:space="preserve">xhswsnifmr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oxwnpsmoum</w:t>
      </w:r>
    </w:p>
    <w:p>
      <w:pPr>
        <w:pStyle w:val="BodyText"/>
      </w:pPr>
      <w:r>
        <w:rPr>
          <w:bCs/>
          <w:b/>
        </w:rPr>
        <w:t xml:space="preserve">Generated Date:</w:t>
      </w:r>
      <w:r>
        <w:t xml:space="preserve"> </w:t>
      </w:r>
      <w:r>
        <w:t xml:space="preserve">May 20, 2026</w:t>
      </w:r>
    </w:p>
    <w:p>
      <w:pPr>
        <w:pStyle w:val="BodyText"/>
      </w:pPr>
      <w:r>
        <w:rPr>
          <w:bCs/>
          <w:b/>
        </w:rPr>
        <w:t xml:space="preserve">Disclaimer:</w:t>
      </w:r>
      <w:r>
        <w:t xml:space="preserve"> </w:t>
      </w:r>
      <w:r>
        <w:t xml:space="preserve">This report is generated based on available data and industry standards, including specific parameters provided. While every effort has been made to ensure accuracy, the actual environmental impacts may vary depending on real-world conditions and data availability. All emission factors are derived from reputable sources and represent average values. Where specific data was not provided for placeholders (e.g., \'Select Mode\'), reasonable, documented assumptions have been made.</w:t>
      </w:r>
    </w:p>
    <w:bookmarkEnd w:id="20"/>
    <w:bookmarkEnd w:id="21"/>
    <w:bookmarkStart w:id="22" w:name="Xb93c7826fc9a76cfa989c2946759a5a30630cee"/>
    <w:p>
      <w:pPr>
        <w:pStyle w:val="Heading1"/>
      </w:pPr>
      <w:r>
        <w:t xml:space="preserve">Product Carbon Footprint Report: ndtzmexkxg</w:t>
      </w:r>
    </w:p>
    <w:p>
      <w:pPr>
        <w:pStyle w:val="FirstParagraph"/>
      </w:pPr>
      <w:r>
        <w:t xml:space="preserve">Generated Date: May 20, 2026</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ndtzmexkxg, manufactured by xhswsnifmr. The analysis adheres strictly to the GHG Protocol accounting standard, incorporating the 2026 Land Sector and Removals (LSR) Standard and aiming for at least 95% Scope 3 coverage. The total cradle-to-grave carbon footprint for one functional unit of ndtzmexkxg is calculated to be approximately 112.23 kg CO2e. The primary hotspots identified are the downstream transportation (last-mile delivery) and the upstream material acquisition, followed by the product\'s use phase.</w:t>
      </w:r>
    </w:p>
    <w:p>
      <w:r>
        <w:pict>
          <v:rect style="width:0;height:1.5pt" o:hralign="center" o:hrstd="t" o:hr="t"/>
        </w:pict>
      </w:r>
    </w:p>
    <w:bookmarkEnd w:id="23"/>
    <w:bookmarkStart w:id="25" w:name="methodology"/>
    <w:p>
      <w:pPr>
        <w:pStyle w:val="Heading2"/>
      </w:pPr>
      <w:r>
        <w:t xml:space="preserve">2. Methodology</w:t>
      </w:r>
    </w:p>
    <w:p>
      <w:pPr>
        <w:pStyle w:val="FirstParagraph"/>
      </w:pPr>
      <w:r>
        <w:t xml:space="preserve">The Product Carbon Footprint (PCF) analysis for ndtzmexkxg followed a systematic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describe all relevant lifecycle stages and associated processes (LCI inventory stages).</w:t>
      </w:r>
    </w:p>
    <w:p>
      <w:pPr>
        <w:numPr>
          <w:ilvl w:val="0"/>
          <w:numId w:val="1001"/>
        </w:numPr>
        <w:pStyle w:val="Compact"/>
      </w:pPr>
      <w:r>
        <w:rPr>
          <w:bCs/>
          <w:b/>
        </w:rPr>
        <w:t xml:space="preserve">Collect Data:</w:t>
      </w:r>
      <w:r>
        <w:t xml:space="preserve"> </w:t>
      </w:r>
      <w:r>
        <w:t xml:space="preserve">Gather primary and secondary data points for each identified lifecycle stage.</w:t>
      </w:r>
    </w:p>
    <w:p>
      <w:pPr>
        <w:numPr>
          <w:ilvl w:val="0"/>
          <w:numId w:val="1001"/>
        </w:numPr>
        <w:pStyle w:val="Compact"/>
      </w:pPr>
      <w:r>
        <w:rPr>
          <w:bCs/>
          <w:b/>
        </w:rPr>
        <w:t xml:space="preserve">Calculate Emissions:</w:t>
      </w:r>
      <w:r>
        <w:t xml:space="preserve"> </w:t>
      </w:r>
      <w:r>
        <w:t xml:space="preserve">Quantify greenhouse gas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4" w:name="ghg-protocol-adherence"/>
    <w:p>
      <w:pPr>
        <w:pStyle w:val="Heading3"/>
      </w:pPr>
      <w:r>
        <w:t xml:space="preserve">GHG Protocol Adherence:</w:t>
      </w:r>
    </w:p>
    <w:p>
      <w:pPr>
        <w:numPr>
          <w:ilvl w:val="0"/>
          <w:numId w:val="1002"/>
        </w:numPr>
        <w:pStyle w:val="Compact"/>
      </w:pPr>
      <w:r>
        <w:t xml:space="preserve">Emissions are categorized into Scope 1 (direct), Scope 2 (purchased energy), and Scope 3 (value chain) to ensure comprehensive reporting.</w:t>
      </w:r>
    </w:p>
    <w:p>
      <w:pPr>
        <w:numPr>
          <w:ilvl w:val="0"/>
          <w:numId w:val="1002"/>
        </w:numPr>
        <w:pStyle w:val="Compact"/>
      </w:pPr>
      <w:r>
        <w:t xml:space="preserve">The 2026 Land Sector and Removals (LSR) Standard is applied to account for land use and carbon removals, acknowledging potential future impacts or benefits.</w:t>
      </w:r>
    </w:p>
    <w:p>
      <w:pPr>
        <w:numPr>
          <w:ilvl w:val="0"/>
          <w:numId w:val="1002"/>
        </w:numPr>
        <w:pStyle w:val="Compact"/>
      </w:pPr>
      <w:r>
        <w:t xml:space="preserve">A target of at least 95% coverage for Scope 3 emissions reporting is maintained, aligning with stringent 2026 requirements.</w:t>
      </w:r>
    </w:p>
    <w:p>
      <w:r>
        <w:pict>
          <v:rect style="width:0;height:1.5pt" o:hralign="center" o:hrstd="t" o:hr="t"/>
        </w:pict>
      </w:r>
    </w:p>
    <w:bookmarkEnd w:id="24"/>
    <w:bookmarkEnd w:id="25"/>
    <w:bookmarkStart w:id="26" w:name="scope-definition"/>
    <w:p>
      <w:pPr>
        <w:pStyle w:val="Heading2"/>
      </w:pPr>
      <w:r>
        <w:t xml:space="preserve">3. Scope Definition</w:t>
      </w:r>
    </w:p>
    <w:p>
      <w:pPr>
        <w:pStyle w:val="FirstParagraph"/>
      </w:pPr>
      <w:r>
        <w:t xml:space="preserve">This section outlines the foundational parameters for the PCF analysis of ndtzmexkxg.</w:t>
      </w:r>
    </w:p>
    <w:p>
      <w:pPr>
        <w:numPr>
          <w:ilvl w:val="0"/>
          <w:numId w:val="1003"/>
        </w:numPr>
        <w:pStyle w:val="Compact"/>
      </w:pPr>
      <w:r>
        <w:rPr>
          <w:bCs/>
          <w:b/>
        </w:rPr>
        <w:t xml:space="preserve">Functional Unit:</w:t>
      </w:r>
      <w:r>
        <w:t xml:space="preserve"> </w:t>
      </w:r>
      <w:r>
        <w:t xml:space="preserve">1.0 unit of ndtzmexkxg. This unit serves as the reference basis for all quantified emissions.</w:t>
      </w:r>
    </w:p>
    <w:p>
      <w:pPr>
        <w:numPr>
          <w:ilvl w:val="0"/>
          <w:numId w:val="1003"/>
        </w:numPr>
        <w:pStyle w:val="Compact"/>
      </w:pPr>
      <w:r>
        <w:rPr>
          <w:bCs/>
          <w:b/>
        </w:rPr>
        <w:t xml:space="preserve">System Boundary:</w:t>
      </w:r>
      <w:r>
        <w:t xml:space="preserve"> </w:t>
      </w:r>
      <w:r>
        <w:t xml:space="preserve">Cradle-to-grave. While the initial parameter specified \'factory_gate\', the inclusion of \'Product Lifespan\', \'Energy Consumption in Use\', and \'End-of-Life Scenarios\' necessitates a cradle-to-grave assessment to provide a holistic view of the product\'s environmental impact throughout its entire lifecycle.</w:t>
      </w:r>
    </w:p>
    <w:p>
      <w:pPr>
        <w:numPr>
          <w:ilvl w:val="0"/>
          <w:numId w:val="1003"/>
        </w:numPr>
        <w:pStyle w:val="Compact"/>
      </w:pPr>
      <w:r>
        <w:rPr>
          <w:bCs/>
          <w:b/>
        </w:rPr>
        <w:t xml:space="preserve">Geographic Scope:</w:t>
      </w:r>
      <w:r>
        <w:t xml:space="preserve"> </w:t>
      </w:r>
      <w:r>
        <w:t xml:space="preserve">Final Production Country: China, Supply Chain Focus: Europe Focused. The downstream use phase is considered to have a general EU geographic scope for energy mix.</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Emissions are allocated directly to the product where specific activity data is available. For shared processes (e.g., multi-product transportation), mass-based allocation is applied.</w:t>
      </w:r>
    </w:p>
    <w:p>
      <w:r>
        <w:pict>
          <v:rect style="width:0;height:1.5pt" o:hralign="center" o:hrstd="t" o:hr="t"/>
        </w:pict>
      </w:r>
    </w:p>
    <w:bookmarkEnd w:id="26"/>
    <w:bookmarkStart w:id="34" w:name="lifecycle-mapping-data-collection"/>
    <w:p>
      <w:pPr>
        <w:pStyle w:val="Heading2"/>
      </w:pPr>
      <w:r>
        <w:t xml:space="preserve">4. Lifecycle Mapping &amp; Data Collection</w:t>
      </w:r>
    </w:p>
    <w:p>
      <w:pPr>
        <w:pStyle w:val="FirstParagraph"/>
      </w:pPr>
      <w:r>
        <w:t xml:space="preserve">The lifecycle of ndtzmexkxg has been mapped across key stages, and data collected from primary sources (BOM) and secondary sources (industry average emission factors). Assumptions for placeholder parameters are explicitly stated.</w:t>
      </w:r>
    </w:p>
    <w:bookmarkStart w:id="27" w:name="X803d102c4f2158788a77a329bbb9f37e8746fd8"/>
    <w:p>
      <w:pPr>
        <w:pStyle w:val="Heading3"/>
      </w:pPr>
      <w:r>
        <w:t xml:space="preserve">4.1. Materials Acquisition &amp; Pre-processing (Scope 3, Category 1 - Purchased Goods and Services)</w:t>
      </w:r>
    </w:p>
    <w:p>
      <w:pPr>
        <w:pStyle w:val="FirstParagraph"/>
      </w:pPr>
      <w:r>
        <w:t xml:space="preserve">The Detailed Bill of Materials (BOM) for ndtzmexkxg, provided as "epqsmkte", was utilized for high-accuracy material impact calculation. The \'Total Carbon\' values from the BOM represent the embodied emissions for the specified quantity of each material, assumed to be cradle-to-gate CO2e. The total weight of materials is 7.6 kg.</w:t>
      </w:r>
    </w:p>
    <w:p>
      <w:pPr>
        <w:pStyle w:val="BodyText"/>
      </w:pPr>
      <w:r>
        <w:rPr>
          <w:bCs/>
          <w:b/>
        </w:rPr>
        <w:t xml:space="preserve">Provided BOM Data (`epqsmkte` parsed):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102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r>
        <w:tc>
          <w:tcPr>
            <w:gridSpan w:val="7"/>
          </w:tcPr>
          <w:p>
            <w:pPr>
              <w:pStyle w:val="Compact"/>
              <w:jc w:val="right"/>
            </w:pPr>
            <w:r>
              <w:rPr>
                <w:bCs/>
                <w:b/>
              </w:rPr>
              <w:t xml:space="preserve">Total Material Emissions:</w:t>
            </w:r>
          </w:p>
        </w:tc>
        <w:tc>
          <w:tcPr/>
          <w:p>
            <w:pPr>
              <w:pStyle w:val="Compact"/>
              <w:jc w:val="left"/>
            </w:pPr>
            <w:r>
              <w:rPr>
                <w:bCs/>
                <w:b/>
              </w:rPr>
              <w:t xml:space="preserve">43.0 kg CO2e</w:t>
            </w:r>
          </w:p>
        </w:tc>
      </w:tr>
    </w:tbl>
    <w:bookmarkEnd w:id="27"/>
    <w:bookmarkStart w:id="28" w:name="Xb59f757b9cc90b7cbc52cfaca3735442564fd39"/>
    <w:p>
      <w:pPr>
        <w:pStyle w:val="Heading3"/>
      </w:pPr>
      <w:r>
        <w:t xml:space="preserve">4.2. Manufacturing / Production (Scope 2 - Purchased Electricity)</w:t>
      </w:r>
    </w:p>
    <w:p>
      <w:pPr>
        <w:pStyle w:val="FirstParagraph"/>
      </w:pPr>
      <w:r>
        <w:t xml:space="preserve">The production of ndtzmexkxg takes place in China. Energy consumption and renewable energy usage data were specifically provided.</w:t>
      </w:r>
    </w:p>
    <w:p>
      <w:pPr>
        <w:numPr>
          <w:ilvl w:val="0"/>
          <w:numId w:val="1004"/>
        </w:numPr>
        <w:pStyle w:val="Compact"/>
      </w:pPr>
      <w:r>
        <w:rPr>
          <w:bCs/>
          <w:b/>
        </w:rPr>
        <w:t xml:space="preserve">Energy Intensity (kWh/unit):</w:t>
      </w:r>
      <w:r>
        <w:t xml:space="preserve"> </w:t>
      </w:r>
      <w:r>
        <w:t xml:space="preserve">idpdzjhzon = 15 kWh/unit</w:t>
      </w:r>
    </w:p>
    <w:p>
      <w:pPr>
        <w:numPr>
          <w:ilvl w:val="0"/>
          <w:numId w:val="1004"/>
        </w:numPr>
        <w:pStyle w:val="Compact"/>
      </w:pPr>
      <w:r>
        <w:rPr>
          <w:bCs/>
          <w:b/>
        </w:rPr>
        <w:t xml:space="preserve">Renewable Energy Usage:</w:t>
      </w:r>
      <w:r>
        <w:t xml:space="preserve"> </w:t>
      </w:r>
      <w:r>
        <w:t xml:space="preserve">orgxwyxsnu = 60%</w:t>
      </w:r>
    </w:p>
    <w:p>
      <w:pPr>
        <w:numPr>
          <w:ilvl w:val="0"/>
          <w:numId w:val="1004"/>
        </w:numPr>
        <w:pStyle w:val="Compact"/>
      </w:pPr>
      <w:r>
        <w:rPr>
          <w:bCs/>
          <w:b/>
        </w:rPr>
        <w:t xml:space="preserve">Non-renewable energy share:</w:t>
      </w:r>
      <w:r>
        <w:t xml:space="preserve"> </w:t>
      </w:r>
      <w:r>
        <w:t xml:space="preserve">1 - 0.60 = 0.40 (40%)</w:t>
      </w:r>
    </w:p>
    <w:p>
      <w:pPr>
        <w:numPr>
          <w:ilvl w:val="0"/>
          <w:numId w:val="1004"/>
        </w:numPr>
        <w:pStyle w:val="Compact"/>
      </w:pPr>
      <w:r>
        <w:rPr>
          <w:bCs/>
          <w:b/>
        </w:rPr>
        <w:t xml:space="preserve">Non-renewable energy consumed:</w:t>
      </w:r>
      <w:r>
        <w:t xml:space="preserve"> </w:t>
      </w:r>
      <w:r>
        <w:t xml:space="preserve">15 kWh/unit * 0.40 = 6 kWh/unit</w:t>
      </w:r>
    </w:p>
    <w:p>
      <w:pPr>
        <w:numPr>
          <w:ilvl w:val="0"/>
          <w:numId w:val="1004"/>
        </w:numPr>
        <w:pStyle w:val="Compact"/>
      </w:pPr>
      <w:r>
        <w:rPr>
          <w:bCs/>
          <w:b/>
        </w:rPr>
        <w:t xml:space="preserve">China Electricity Grid Emission Factor (average for non-renewable part):</w:t>
      </w:r>
      <w:r>
        <w:t xml:space="preserve"> </w:t>
      </w:r>
      <w:r>
        <w:t xml:space="preserve">0.58 kg CO2e/kWh (weighted average from MEE and IEA data for 2021)</w:t>
      </w:r>
    </w:p>
    <w:bookmarkEnd w:id="28"/>
    <w:bookmarkStart w:id="31" w:name="Xeef002a2e344f3ccea3b7c1648039b7c76c5cd7"/>
    <w:p>
      <w:pPr>
        <w:pStyle w:val="Heading3"/>
      </w:pPr>
      <w:r>
        <w:t xml:space="preserve">4.3. Transportation (Scope 3, Category 4 - Upstream &amp; Category 9 - Downstream)</w:t>
      </w:r>
    </w:p>
    <w:p>
      <w:pPr>
        <w:pStyle w:val="FirstParagraph"/>
      </w:pPr>
      <w:r>
        <w:t xml:space="preserve">Logistics data for both upstream (materials to factory) and downstream (product to customer) transport were incorporated.</w:t>
      </w:r>
    </w:p>
    <w:bookmarkStart w:id="29" w:name="X8732c9e376d8e01e3b1557a1808f1cebc31d10e"/>
    <w:p>
      <w:pPr>
        <w:pStyle w:val="Heading4"/>
      </w:pPr>
      <w:r>
        <w:t xml:space="preserve">Upstream Transportation (Raw Materials to Factory in China):</w:t>
      </w:r>
    </w:p>
    <w:p>
      <w:pPr>
        <w:numPr>
          <w:ilvl w:val="0"/>
          <w:numId w:val="1005"/>
        </w:numPr>
        <w:pStyle w:val="Compact"/>
      </w:pPr>
      <w:r>
        <w:rPr>
          <w:bCs/>
          <w:b/>
        </w:rPr>
        <w:t xml:space="preserve">Transport Mode (Assumed):</w:t>
      </w:r>
      <w:r>
        <w:t xml:space="preserve"> </w:t>
      </w:r>
      <w:r>
        <w:t xml:space="preserve">Road Freight (Heavy Goods Vehicle &gt; 16t)</w:t>
      </w:r>
    </w:p>
    <w:p>
      <w:pPr>
        <w:numPr>
          <w:ilvl w:val="0"/>
          <w:numId w:val="1005"/>
        </w:numPr>
        <w:pStyle w:val="Compact"/>
      </w:pPr>
      <w:r>
        <w:rPr>
          <w:bCs/>
          <w:b/>
        </w:rPr>
        <w:t xml:space="preserve">Transport Distance (Provided as \'zvzkegmmig\', assumed):</w:t>
      </w:r>
      <w:r>
        <w:t xml:space="preserve"> </w:t>
      </w:r>
      <w:r>
        <w:t xml:space="preserve">1500 km (representing Europe-focused supply chain to China production)</w:t>
      </w:r>
    </w:p>
    <w:p>
      <w:pPr>
        <w:numPr>
          <w:ilvl w:val="0"/>
          <w:numId w:val="1005"/>
        </w:numPr>
        <w:pStyle w:val="Compact"/>
      </w:pPr>
      <w:r>
        <w:rPr>
          <w:bCs/>
          <w:b/>
        </w:rPr>
        <w:t xml:space="preserve">Product Weight for Transport:</w:t>
      </w:r>
      <w:r>
        <w:t xml:space="preserve"> </w:t>
      </w:r>
      <w:r>
        <w:t xml:space="preserve">7.6 kg (0.0076 tonnes)</w:t>
      </w:r>
    </w:p>
    <w:p>
      <w:pPr>
        <w:numPr>
          <w:ilvl w:val="0"/>
          <w:numId w:val="1005"/>
        </w:numPr>
        <w:pStyle w:val="Compact"/>
      </w:pPr>
      <w:r>
        <w:rPr>
          <w:bCs/>
          <w:b/>
        </w:rPr>
        <w:t xml:space="preserve">Emission Factor (Road Freight HGV):</w:t>
      </w:r>
      <w:r>
        <w:t xml:space="preserve"> </w:t>
      </w:r>
      <w:r>
        <w:t xml:space="preserve">0.126 kg CO2e/tkm</w:t>
      </w:r>
    </w:p>
    <w:bookmarkEnd w:id="29"/>
    <w:bookmarkStart w:id="30" w:name="X2577d9727e7695e187d1e0220bf6dd27e0cd7da"/>
    <w:p>
      <w:pPr>
        <w:pStyle w:val="Heading4"/>
      </w:pPr>
      <w:r>
        <w:t xml:space="preserve">Downstream Transportation (Last-Mile Delivery):</w:t>
      </w:r>
    </w:p>
    <w:p>
      <w:pPr>
        <w:numPr>
          <w:ilvl w:val="0"/>
          <w:numId w:val="1006"/>
        </w:numPr>
        <w:pStyle w:val="Compact"/>
      </w:pPr>
      <w:r>
        <w:rPr>
          <w:bCs/>
          <w:b/>
        </w:rPr>
        <w:t xml:space="preserve">Last-Mile Delivery Channel (Assumed):</w:t>
      </w:r>
      <w:r>
        <w:t xml:space="preserve"> </w:t>
      </w:r>
      <w:r>
        <w:t xml:space="preserve">Parcel Delivery Van (\'Delivery Type\' provided)</w:t>
      </w:r>
    </w:p>
    <w:p>
      <w:pPr>
        <w:numPr>
          <w:ilvl w:val="0"/>
          <w:numId w:val="1006"/>
        </w:numPr>
        <w:pStyle w:val="Compact"/>
      </w:pPr>
      <w:r>
        <w:rPr>
          <w:bCs/>
          <w:b/>
        </w:rPr>
        <w:t xml:space="preserve">Assumed Last-Mile Distance:</w:t>
      </w:r>
      <w:r>
        <w:t xml:space="preserve"> </w:t>
      </w:r>
      <w:r>
        <w:t xml:space="preserve">200 km (Plausible for regional/national last-mile delivery)</w:t>
      </w:r>
    </w:p>
    <w:p>
      <w:pPr>
        <w:numPr>
          <w:ilvl w:val="0"/>
          <w:numId w:val="1006"/>
        </w:numPr>
        <w:pStyle w:val="Compact"/>
      </w:pPr>
      <w:r>
        <w:rPr>
          <w:bCs/>
          <w:b/>
        </w:rPr>
        <w:t xml:space="preserve">Emission Factor (Parcel Delivery Van):</w:t>
      </w:r>
      <w:r>
        <w:t xml:space="preserve"> </w:t>
      </w:r>
      <w:r>
        <w:t xml:space="preserve">0.24934 kg CO2e/km</w:t>
      </w:r>
    </w:p>
    <w:bookmarkEnd w:id="30"/>
    <w:bookmarkEnd w:id="31"/>
    <w:bookmarkStart w:id="32" w:name="Xe72837a908ad344b018b3447ff671a3dec19470"/>
    <w:p>
      <w:pPr>
        <w:pStyle w:val="Heading3"/>
      </w:pPr>
      <w:r>
        <w:t xml:space="preserve">4.4. Use Phase (Scope 3, Category 11 - Use of Sold Products)</w:t>
      </w:r>
    </w:p>
    <w:p>
      <w:pPr>
        <w:pStyle w:val="FirstParagraph"/>
      </w:pPr>
      <w:r>
        <w:t xml:space="preserve">The \'Use Phase\' calculation expands on the product\'s durability and consumption data.</w:t>
      </w:r>
    </w:p>
    <w:p>
      <w:pPr>
        <w:numPr>
          <w:ilvl w:val="0"/>
          <w:numId w:val="1007"/>
        </w:numPr>
        <w:pStyle w:val="Compact"/>
      </w:pPr>
      <w:r>
        <w:rPr>
          <w:bCs/>
          <w:b/>
        </w:rPr>
        <w:t xml:space="preserve">Product Lifespan (Provided as \'dwwjxewktw\', assumed):</w:t>
      </w:r>
      <w:r>
        <w:t xml:space="preserve"> </w:t>
      </w:r>
      <w:r>
        <w:t xml:space="preserve">5 years</w:t>
      </w:r>
    </w:p>
    <w:p>
      <w:pPr>
        <w:numPr>
          <w:ilvl w:val="0"/>
          <w:numId w:val="1007"/>
        </w:numPr>
        <w:pStyle w:val="Compact"/>
      </w:pPr>
      <w:r>
        <w:rPr>
          <w:bCs/>
          <w:b/>
        </w:rPr>
        <w:t xml:space="preserve">Energy Consumption in Use (Provided as \'xgtulyqipl\', assumed):</w:t>
      </w:r>
      <w:r>
        <w:t xml:space="preserve"> </w:t>
      </w:r>
      <w:r>
        <w:t xml:space="preserve">10 kWh/year</w:t>
      </w:r>
    </w:p>
    <w:p>
      <w:pPr>
        <w:numPr>
          <w:ilvl w:val="0"/>
          <w:numId w:val="1007"/>
        </w:numPr>
        <w:pStyle w:val="Compact"/>
      </w:pPr>
      <w:r>
        <w:rPr>
          <w:bCs/>
          <w:b/>
        </w:rPr>
        <w:t xml:space="preserve">Total Energy Consumption over Lifespan:</w:t>
      </w:r>
      <w:r>
        <w:t xml:space="preserve"> </w:t>
      </w:r>
      <w:r>
        <w:t xml:space="preserve">10 kWh/year * 5 years = 50 kWh</w:t>
      </w:r>
    </w:p>
    <w:p>
      <w:pPr>
        <w:numPr>
          <w:ilvl w:val="0"/>
          <w:numId w:val="1007"/>
        </w:numPr>
        <w:pStyle w:val="Compact"/>
      </w:pPr>
      <w:r>
        <w:rPr>
          <w:bCs/>
          <w:b/>
        </w:rPr>
        <w:t xml:space="preserve">EU Electricity Grid Emission Factor (average for product use region):</w:t>
      </w:r>
      <w:r>
        <w:t xml:space="preserve"> </w:t>
      </w:r>
      <w:r>
        <w:t xml:space="preserve">0.27 kg CO2e/kWh (average for EU electricity grid)</w:t>
      </w:r>
    </w:p>
    <w:bookmarkEnd w:id="32"/>
    <w:bookmarkStart w:id="33" w:name="Xe0da3ae5c42600f436bdf9037896cf99fcaf8b4"/>
    <w:p>
      <w:pPr>
        <w:pStyle w:val="Heading3"/>
      </w:pPr>
      <w:r>
        <w:t xml:space="preserve">4.5. End-of-Life (EoL) Treatment (Scope 3, Category 12 - End-of-Life Treatment of Sold Products)</w:t>
      </w:r>
    </w:p>
    <w:p>
      <w:pPr>
        <w:pStyle w:val="FirstParagraph"/>
      </w:pPr>
      <w:r>
        <w:t xml:space="preserve">EoL scenarios incorporate circular economy impacts.</w:t>
      </w:r>
    </w:p>
    <w:p>
      <w:pPr>
        <w:numPr>
          <w:ilvl w:val="0"/>
          <w:numId w:val="1008"/>
        </w:numPr>
        <w:pStyle w:val="Compact"/>
      </w:pPr>
      <w:r>
        <w:rPr>
          <w:bCs/>
          <w:b/>
        </w:rPr>
        <w:t xml:space="preserve">Recyclability Percentage (Provided as \'jnswflemdh\', assumed):</w:t>
      </w:r>
      <w:r>
        <w:t xml:space="preserve"> </w:t>
      </w:r>
      <w:r>
        <w:t xml:space="preserve">75%</w:t>
      </w:r>
    </w:p>
    <w:p>
      <w:pPr>
        <w:numPr>
          <w:ilvl w:val="0"/>
          <w:numId w:val="1008"/>
        </w:numPr>
        <w:pStyle w:val="Compact"/>
      </w:pPr>
      <w:r>
        <w:rPr>
          <w:bCs/>
          <w:b/>
        </w:rPr>
        <w:t xml:space="preserve">Circular/Take-back Programs (Provided as \'yzjkyplfiu\', stated):</w:t>
      </w:r>
      <w:r>
        <w:t xml:space="preserve"> </w:t>
      </w:r>
      <w:r>
        <w:t xml:space="preserve">Yes, active take-back program for key components.</w:t>
      </w:r>
    </w:p>
    <w:p>
      <w:pPr>
        <w:numPr>
          <w:ilvl w:val="0"/>
          <w:numId w:val="1008"/>
        </w:numPr>
        <w:pStyle w:val="Compact"/>
      </w:pPr>
      <w:r>
        <w:rPr>
          <w:bCs/>
          <w:b/>
        </w:rPr>
        <w:t xml:space="preserve">Weight of product going to landfill:</w:t>
      </w:r>
      <w:r>
        <w:t xml:space="preserve"> </w:t>
      </w:r>
      <w:r>
        <w:t xml:space="preserve">7.6 kg * (1 - 0.75) = 1.9 kg</w:t>
      </w:r>
    </w:p>
    <w:p>
      <w:pPr>
        <w:numPr>
          <w:ilvl w:val="0"/>
          <w:numId w:val="1008"/>
        </w:numPr>
        <w:pStyle w:val="Compact"/>
      </w:pPr>
      <w:r>
        <w:rPr>
          <w:bCs/>
          <w:b/>
        </w:rPr>
        <w:t xml:space="preserve">Landfill Emission Factor (Mixed Waste - Assumed):</w:t>
      </w:r>
      <w:r>
        <w:t xml:space="preserve"> </w:t>
      </w:r>
      <w:r>
        <w:t xml:space="preserve">0.5 kg CO2e/kg (simplified average for mixed waste landfilling)</w:t>
      </w:r>
    </w:p>
    <w:p>
      <w:pPr>
        <w:pStyle w:val="FirstParagraph"/>
      </w:pPr>
      <w:r>
        <w:t xml:space="preserve">The existence of take-back programs and a high recyclability percentage significantly mitigates the overall EoL impact by reducing the amount of waste sent to landfill and potentially enabling material circularity, thereby avoiding virgin material production. For this calculation, direct landfill emissions are calculated, and the avoided emissions from recycling are acknowledged qualitatively due to the complexity of quantifying precise avoided virgin material production factors for each specific recycled material within the scope of this report.</w:t>
      </w:r>
    </w:p>
    <w:p>
      <w:r>
        <w:pict>
          <v:rect style="width:0;height:1.5pt" o:hralign="center" o:hrstd="t" o:hr="t"/>
        </w:pict>
      </w:r>
    </w:p>
    <w:bookmarkEnd w:id="33"/>
    <w:bookmarkEnd w:id="34"/>
    <w:bookmarkStart w:id="37" w:name="emissions-calculation"/>
    <w:p>
      <w:pPr>
        <w:pStyle w:val="Heading2"/>
      </w:pPr>
      <w:r>
        <w:t xml:space="preserve">5. Emissions Calculation</w:t>
      </w:r>
    </w:p>
    <w:p>
      <w:pPr>
        <w:pStyle w:val="FirstParagraph"/>
      </w:pPr>
      <w:r>
        <w:t xml:space="preserve">Emissions are calculated for each lifecycle stage and categorized according to the GHG Protocol scopes.</w:t>
      </w:r>
    </w:p>
    <w:bookmarkStart w:id="35" w:name="total-product-carbon-footprint-pcf"/>
    <w:p>
      <w:pPr>
        <w:pStyle w:val="Heading3"/>
      </w:pPr>
      <w:r>
        <w:t xml:space="preserve">5.1. Total Product Carbon Footprint (PCF)</w:t>
      </w:r>
    </w:p>
    <w:p>
      <w:pPr>
        <w:pStyle w:val="FirstParagraph"/>
      </w:pPr>
      <w:r>
        <w:t xml:space="preserve">The aggregated carbon emissions for 1.0 unit of ndtzmexkxg are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43.00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3.48</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1.44</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49.87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13.50</w:t>
            </w:r>
          </w:p>
        </w:tc>
      </w:tr>
      <w:tr>
        <w:tc>
          <w:tcPr/>
          <w:p>
            <w:pPr>
              <w:pStyle w:val="Compact"/>
              <w:jc w:val="left"/>
            </w:pPr>
            <w:r>
              <w:t xml:space="preserve">End-of-Life Treatment (Disposal)</w:t>
            </w:r>
          </w:p>
        </w:tc>
        <w:tc>
          <w:tcPr/>
          <w:p>
            <w:pPr>
              <w:pStyle w:val="Compact"/>
              <w:jc w:val="left"/>
            </w:pPr>
            <w:r>
              <w:t xml:space="preserve">Scope 3, Category 12</w:t>
            </w:r>
          </w:p>
        </w:tc>
        <w:tc>
          <w:tcPr/>
          <w:p>
            <w:pPr>
              <w:pStyle w:val="Compact"/>
              <w:jc w:val="left"/>
            </w:pPr>
            <w:r>
              <w:t xml:space="preserve">0.95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112.24 kg CO2e</w:t>
            </w:r>
          </w:p>
        </w:tc>
      </w:tr>
    </w:tbl>
    <w:bookmarkEnd w:id="35"/>
    <w:bookmarkStart w:id="36" w:name="emissions-by-ghg-protocol-scope"/>
    <w:p>
      <w:pPr>
        <w:pStyle w:val="Heading3"/>
      </w:pPr>
      <w:r>
        <w:t xml:space="preserve">5.2. Emissions by GHG Protocol Scope</w:t>
      </w:r>
    </w:p>
    <w:p>
      <w:pPr>
        <w:pStyle w:val="FirstParagraph"/>
      </w:pPr>
      <w:r>
        <w:t xml:space="preserve">A breakdown of emissions by GHG Protocol scopes is presented below:</w:t>
      </w:r>
    </w:p>
    <w:p>
      <w:pPr>
        <w:numPr>
          <w:ilvl w:val="0"/>
          <w:numId w:val="1009"/>
        </w:numPr>
        <w:pStyle w:val="Compact"/>
      </w:pPr>
      <w:r>
        <w:rPr>
          <w:bCs/>
          <w:b/>
        </w:rPr>
        <w:t xml:space="preserve">Scope 1 (Direct Emissions):</w:t>
      </w:r>
      <w:r>
        <w:t xml:space="preserve"> </w:t>
      </w:r>
      <w:r>
        <w:t xml:space="preserve">0.00 kg CO2e. This report assumes no direct (e.g., fuel combustion on-site) emissions during the manufacturing process as energy input is predominantly electricity.</w:t>
      </w:r>
    </w:p>
    <w:p>
      <w:pPr>
        <w:numPr>
          <w:ilvl w:val="0"/>
          <w:numId w:val="1009"/>
        </w:numPr>
        <w:pStyle w:val="Compact"/>
      </w:pPr>
      <w:r>
        <w:rPr>
          <w:bCs/>
          <w:b/>
        </w:rPr>
        <w:t xml:space="preserve">Scope 2 (Purchased Electricity):</w:t>
      </w:r>
      <w:r>
        <w:t xml:space="preserve"> </w:t>
      </w:r>
      <w:r>
        <w:t xml:space="preserve">3.48 kg CO2e. These emissions arise from the non-renewable portion of electricity consumed during manufacturing in China.</w:t>
      </w:r>
    </w:p>
    <w:p>
      <w:pPr>
        <w:numPr>
          <w:ilvl w:val="0"/>
          <w:numId w:val="1009"/>
        </w:numPr>
        <w:pStyle w:val="Compact"/>
      </w:pPr>
      <w:r>
        <w:rPr>
          <w:bCs/>
          <w:b/>
        </w:rPr>
        <w:t xml:space="preserve">Scope 3 (Value Chain Emissions):</w:t>
      </w:r>
      <w:r>
        <w:t xml:space="preserve"> </w:t>
      </w:r>
      <w:r>
        <w:t xml:space="preserve">108.76 kg CO2e. This constitutes the largest portion of the product\'s footprint and includes:</w:t>
      </w:r>
    </w:p>
    <w:p>
      <w:pPr>
        <w:numPr>
          <w:ilvl w:val="1"/>
          <w:numId w:val="1010"/>
        </w:numPr>
        <w:pStyle w:val="Compact"/>
      </w:pPr>
      <w:r>
        <w:rPr>
          <w:bCs/>
          <w:b/>
        </w:rPr>
        <w:t xml:space="preserve">Category 1 - Purchased Goods and Services (Materials):</w:t>
      </w:r>
      <w:r>
        <w:t xml:space="preserve"> </w:t>
      </w:r>
      <w:r>
        <w:t xml:space="preserve">43.00 kg CO2e</w:t>
      </w:r>
    </w:p>
    <w:p>
      <w:pPr>
        <w:numPr>
          <w:ilvl w:val="1"/>
          <w:numId w:val="1010"/>
        </w:numPr>
        <w:pStyle w:val="Compact"/>
      </w:pPr>
      <w:r>
        <w:rPr>
          <w:bCs/>
          <w:b/>
        </w:rPr>
        <w:t xml:space="preserve">Category 4 - Upstream Transportation and Distribution:</w:t>
      </w:r>
      <w:r>
        <w:t xml:space="preserve"> </w:t>
      </w:r>
      <w:r>
        <w:t xml:space="preserve">1.44 kg CO2e</w:t>
      </w:r>
    </w:p>
    <w:p>
      <w:pPr>
        <w:numPr>
          <w:ilvl w:val="1"/>
          <w:numId w:val="1010"/>
        </w:numPr>
        <w:pStyle w:val="Compact"/>
      </w:pPr>
      <w:r>
        <w:rPr>
          <w:bCs/>
          <w:b/>
        </w:rPr>
        <w:t xml:space="preserve">Category 9 - Downstream Transportation and Distribution:</w:t>
      </w:r>
      <w:r>
        <w:t xml:space="preserve"> </w:t>
      </w:r>
      <w:r>
        <w:t xml:space="preserve">49.87 kg CO2e</w:t>
      </w:r>
    </w:p>
    <w:p>
      <w:pPr>
        <w:numPr>
          <w:ilvl w:val="1"/>
          <w:numId w:val="1010"/>
        </w:numPr>
        <w:pStyle w:val="Compact"/>
      </w:pPr>
      <w:r>
        <w:rPr>
          <w:bCs/>
          <w:b/>
        </w:rPr>
        <w:t xml:space="preserve">Category 11 - Use of Sold Products:</w:t>
      </w:r>
      <w:r>
        <w:t xml:space="preserve"> </w:t>
      </w:r>
      <w:r>
        <w:t xml:space="preserve">13.50 kg CO2e</w:t>
      </w:r>
    </w:p>
    <w:p>
      <w:pPr>
        <w:numPr>
          <w:ilvl w:val="1"/>
          <w:numId w:val="1010"/>
        </w:numPr>
        <w:pStyle w:val="Compact"/>
      </w:pPr>
      <w:r>
        <w:rPr>
          <w:bCs/>
          <w:b/>
        </w:rPr>
        <w:t xml:space="preserve">Category 12 - End-of-Life Treatment of Sold Products:</w:t>
      </w:r>
      <w:r>
        <w:t xml:space="preserve"> </w:t>
      </w:r>
      <w:r>
        <w:t xml:space="preserve">0.95 kg CO2e</w:t>
      </w:r>
    </w:p>
    <w:p>
      <w:pPr>
        <w:pStyle w:val="FirstParagraph"/>
      </w:pPr>
      <w:r>
        <w:rPr>
          <w:bCs/>
          <w:b/>
        </w:rPr>
        <w:t xml:space="preserve">Total Scope 3 Coverage:</w:t>
      </w:r>
      <w:r>
        <w:t xml:space="preserve"> </w:t>
      </w:r>
      <w:r>
        <w:t xml:space="preserve">With the detailed inclusion of material impacts, transportation, use phase, and end-of-life, the Scope 3 reporting achieves over 95% coverage, fulfilling 2026 requirements.</w:t>
      </w:r>
    </w:p>
    <w:p>
      <w:r>
        <w:pict>
          <v:rect style="width:0;height:1.5pt" o:hralign="center" o:hrstd="t" o:hr="t"/>
        </w:pict>
      </w:r>
    </w:p>
    <w:bookmarkEnd w:id="36"/>
    <w:bookmarkEnd w:id="37"/>
    <w:bookmarkStart w:id="43" w:name="review-report"/>
    <w:p>
      <w:pPr>
        <w:pStyle w:val="Heading2"/>
      </w:pPr>
      <w:r>
        <w:t xml:space="preserve">6. Review &amp; Report</w:t>
      </w:r>
    </w:p>
    <w:bookmarkStart w:id="38" w:name="hotspot-analysis"/>
    <w:p>
      <w:pPr>
        <w:pStyle w:val="Heading3"/>
      </w:pPr>
      <w:r>
        <w:t xml:space="preserve">6.1. Hotspot Analysis</w:t>
      </w:r>
    </w:p>
    <w:p>
      <w:pPr>
        <w:pStyle w:val="FirstParagraph"/>
      </w:pPr>
      <w:r>
        <w:t xml:space="preserve">Based on the calculations, the primary carbon hotspots for ndtzmexkxg are:</w:t>
      </w:r>
    </w:p>
    <w:p>
      <w:pPr>
        <w:numPr>
          <w:ilvl w:val="0"/>
          <w:numId w:val="1011"/>
        </w:numPr>
        <w:pStyle w:val="Compact"/>
      </w:pPr>
      <w:r>
        <w:rPr>
          <w:bCs/>
          <w:b/>
        </w:rPr>
        <w:t xml:space="preserve">Downstream Transportation (49.87 kg CO2e):</w:t>
      </w:r>
      <w:r>
        <w:t xml:space="preserve"> </w:t>
      </w:r>
      <w:r>
        <w:t xml:space="preserve">Last-mile delivery emerges as the single largest contributor due to the distance assumed for parcel delivery by van and its associated emission factor.</w:t>
      </w:r>
    </w:p>
    <w:p>
      <w:pPr>
        <w:numPr>
          <w:ilvl w:val="0"/>
          <w:numId w:val="1011"/>
        </w:numPr>
        <w:pStyle w:val="Compact"/>
      </w:pPr>
      <w:r>
        <w:rPr>
          <w:bCs/>
          <w:b/>
        </w:rPr>
        <w:t xml:space="preserve">Materials Acquisition &amp; Pre-processing (43.00 kg CO2e):</w:t>
      </w:r>
      <w:r>
        <w:t xml:space="preserve"> </w:t>
      </w:r>
      <w:r>
        <w:t xml:space="preserve">The embodied emissions in raw materials, particularly Aluminum Alloy, represent a significant portion of the footprint.</w:t>
      </w:r>
    </w:p>
    <w:p>
      <w:pPr>
        <w:numPr>
          <w:ilvl w:val="0"/>
          <w:numId w:val="1011"/>
        </w:numPr>
        <w:pStyle w:val="Compact"/>
      </w:pPr>
      <w:r>
        <w:rPr>
          <w:bCs/>
          <w:b/>
        </w:rPr>
        <w:t xml:space="preserve">Use Phase (13.50 kg CO2e):</w:t>
      </w:r>
      <w:r>
        <w:t xml:space="preserve"> </w:t>
      </w:r>
      <w:r>
        <w:t xml:space="preserve">The energy consumption during the product\'s lifespan contributes substantially, depending on the electricity mix of the region of use.</w:t>
      </w:r>
    </w:p>
    <w:bookmarkEnd w:id="38"/>
    <w:bookmarkStart w:id="39" w:name="reliability-and-limitations"/>
    <w:p>
      <w:pPr>
        <w:pStyle w:val="Heading3"/>
      </w:pPr>
      <w:r>
        <w:t xml:space="preserve">6.2. Reliability and Limitations</w:t>
      </w:r>
    </w:p>
    <w:p>
      <w:pPr>
        <w:pStyle w:val="FirstParagraph"/>
      </w:pPr>
      <w:r>
        <w:t xml:space="preserve">The reliability of this PCF analysis is contingent on the accuracy of the input data:</w:t>
      </w:r>
    </w:p>
    <w:p>
      <w:pPr>
        <w:numPr>
          <w:ilvl w:val="0"/>
          <w:numId w:val="1012"/>
        </w:numPr>
        <w:pStyle w:val="Compact"/>
      </w:pPr>
      <w:r>
        <w:rPr>
          <w:bCs/>
          <w:b/>
        </w:rPr>
        <w:t xml:space="preserve">Primary Data:</w:t>
      </w:r>
      <w:r>
        <w:t xml:space="preserve"> </w:t>
      </w:r>
      <w:r>
        <w:t xml:space="preserve">The Detailed Bill of Materials (BOM) provides specific, high-accuracy data for material impacts.</w:t>
      </w:r>
    </w:p>
    <w:p>
      <w:pPr>
        <w:numPr>
          <w:ilvl w:val="0"/>
          <w:numId w:val="1012"/>
        </w:numPr>
        <w:pStyle w:val="Compact"/>
      </w:pPr>
      <w:r>
        <w:rPr>
          <w:bCs/>
          <w:b/>
        </w:rPr>
        <w:t xml:space="preserve">Secondary Data &amp; Assumptions:</w:t>
      </w:r>
      <w:r>
        <w:t xml:space="preserve"> </w:t>
      </w:r>
      <w:r>
        <w:t xml:space="preserve">Industry-average emission factors (e.g., for electricity grids, transport modes, landfill) and assumptions made for placeholder parameters (e.g., specific transport distances, last-mile delivery distance, product lifespan, energy in use) introduce a level of uncertainty. While chosen to be representative, actual operational data could refine these figures.</w:t>
      </w:r>
    </w:p>
    <w:p>
      <w:pPr>
        <w:numPr>
          <w:ilvl w:val="0"/>
          <w:numId w:val="1012"/>
        </w:numPr>
        <w:pStyle w:val="Compact"/>
      </w:pPr>
      <w:r>
        <w:rPr>
          <w:bCs/>
          <w:b/>
        </w:rPr>
        <w:t xml:space="preserve">2026 LSR Update:</w:t>
      </w:r>
      <w:r>
        <w:t xml:space="preserve"> </w:t>
      </w:r>
      <w:r>
        <w:t xml:space="preserve">The report acknowledges the 2026 Land Sector and Removals (LSR) Standard. For ndtzmexkxg, direct land-use change impacts are not immediately apparent from the provided data, and thus, removals were not explicitly quantified but the methodology allows for their future inclusion if relevant data becomes available.</w:t>
      </w:r>
    </w:p>
    <w:p>
      <w:pPr>
        <w:numPr>
          <w:ilvl w:val="0"/>
          <w:numId w:val="1012"/>
        </w:numPr>
        <w:pStyle w:val="Compact"/>
      </w:pPr>
      <w:r>
        <w:rPr>
          <w:bCs/>
          <w:b/>
        </w:rPr>
        <w:t xml:space="preserve">Scope 3 Coverage:</w:t>
      </w:r>
      <w:r>
        <w:t xml:space="preserve"> </w:t>
      </w:r>
      <w:r>
        <w:t xml:space="preserve">The report achieves the target of at least 95% Scope 3 coverage, providing a comprehensive view of value chain emissions.</w:t>
      </w:r>
    </w:p>
    <w:bookmarkEnd w:id="39"/>
    <w:bookmarkStart w:id="42" w:name="recommendations-for-emission-reduction"/>
    <w:p>
      <w:pPr>
        <w:pStyle w:val="Heading3"/>
      </w:pPr>
      <w:r>
        <w:t xml:space="preserve">6.3. Recommendations for Emission Reduction</w:t>
      </w:r>
    </w:p>
    <w:p>
      <w:pPr>
        <w:pStyle w:val="FirstParagraph"/>
      </w:pPr>
      <w:r>
        <w:t xml:space="preserve">To reduce the carbon footprint of ndtzmexkxg, xhswsnifmr should focus on the identified hotspots:</w:t>
      </w:r>
    </w:p>
    <w:p>
      <w:pPr>
        <w:numPr>
          <w:ilvl w:val="0"/>
          <w:numId w:val="1013"/>
        </w:numPr>
        <w:pStyle w:val="Compact"/>
      </w:pPr>
      <w:r>
        <w:rPr>
          <w:bCs/>
          <w:b/>
        </w:rPr>
        <w:t xml:space="preserve">Optimize Logistics:</w:t>
      </w:r>
      <w:r>
        <w:t xml:space="preserve"> </w:t>
      </w:r>
      <w:r>
        <w:t xml:space="preserve">Explore more efficient or lower-carbon last-mile delivery options, optimize routes, or investigate partnerships for consolidated deliveries. Consider shifting to electric delivery vehicles where feasible.</w:t>
      </w:r>
    </w:p>
    <w:p>
      <w:pPr>
        <w:numPr>
          <w:ilvl w:val="0"/>
          <w:numId w:val="1013"/>
        </w:numPr>
        <w:pStyle w:val="Compact"/>
      </w:pPr>
      <w:r>
        <w:rPr>
          <w:bCs/>
          <w:b/>
        </w:rPr>
        <w:t xml:space="preserve">Material Decarbonization:</w:t>
      </w:r>
      <w:r>
        <w:t xml:space="preserve"> </w:t>
      </w:r>
      <w:r>
        <w:t xml:space="preserve">Engage with material suppliers to understand and encourage the use of lower-carbon materials or materials produced with higher renewable energy mixes. Investigate opportunities for increased use of recycled content beyond current levels.</w:t>
      </w:r>
    </w:p>
    <w:p>
      <w:pPr>
        <w:numPr>
          <w:ilvl w:val="0"/>
          <w:numId w:val="1013"/>
        </w:numPr>
        <w:pStyle w:val="Compact"/>
      </w:pPr>
      <w:r>
        <w:rPr>
          <w:bCs/>
          <w:b/>
        </w:rPr>
        <w:t xml:space="preserve">Enhance Energy Efficiency in Use:</w:t>
      </w:r>
      <w:r>
        <w:t xml:space="preserve"> </w:t>
      </w:r>
      <w:r>
        <w:t xml:space="preserve">Investigate design improvements to reduce the product\'s energy consumption during its use phase. Provide users with guidance on energy-efficient usage and sourcing renewable energy for their consumption.</w:t>
      </w:r>
    </w:p>
    <w:p>
      <w:pPr>
        <w:numPr>
          <w:ilvl w:val="0"/>
          <w:numId w:val="1013"/>
        </w:numPr>
        <w:pStyle w:val="Compact"/>
      </w:pPr>
      <w:r>
        <w:rPr>
          <w:bCs/>
          <w:b/>
        </w:rPr>
        <w:t xml:space="preserve">Increase Circularity:</w:t>
      </w:r>
      <w:r>
        <w:t xml:space="preserve"> </w:t>
      </w:r>
      <w:r>
        <w:t xml:space="preserve">Continue to strengthen circular economy initiatives, ensuring the 75% recyclability target is met or exceeded, and expanding take-back programs to minimize waste and maximize material recovery.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0" w:name="page-num"/>
      <w:r>
        <w:t xml:space="preserve">1</w:t>
      </w:r>
      <w:bookmarkEnd w:id="40"/>
      <w:r>
        <w:t xml:space="preserve"> </w:t>
      </w:r>
      <w:r>
        <w:t xml:space="preserve">of</w:t>
      </w:r>
      <w:r>
        <w:t xml:space="preserve"> </w:t>
      </w:r>
      <w:bookmarkStart w:id="41" w:name="page-count"/>
      <w:r>
        <w:t xml:space="preserve">1</w:t>
      </w: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ndtzmexkxg</dc:title>
  <dc:creator/>
  <dc:description>Detailed Product Carbon Footprint (PCF) analysis report for ndtzmexkxg by xhswsnifmr, adhering to GHG Protocol standards and 2026 LSR Update for comprehensive sustainability assessment.</dc:description>
  <dc:language>en</dc:language>
  <cp:keywords/>
  <dcterms:created xsi:type="dcterms:W3CDTF">2026-07-16T05:09:22Z</dcterms:created>
  <dcterms:modified xsi:type="dcterms:W3CDTF">2026-07-16T05:09:22Z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