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ndrwhutnre</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ndrwhutnre</w:t>
      </w:r>
    </w:p>
    <w:p>
      <w:pPr>
        <w:pStyle w:val="BodyText"/>
      </w:pPr>
      <w:r>
        <w:rPr>
          <w:bCs/>
          <w:b/>
        </w:rPr>
        <w:t xml:space="preserve">Company:</w:t>
      </w:r>
      <w:r>
        <w:t xml:space="preserve"> </w:t>
      </w:r>
      <w:r>
        <w:t xml:space="preserve">gskzgdownf</w:t>
      </w:r>
    </w:p>
    <w:p>
      <w:pPr>
        <w:pStyle w:val="BodyText"/>
      </w:pPr>
      <w:r>
        <w:rPr>
          <w:bCs/>
          <w:b/>
        </w:rPr>
        <w:t xml:space="preserve">Senior Sustainability Consultant:</w:t>
      </w:r>
      <w:r>
        <w:t xml:space="preserve"> </w:t>
      </w:r>
      <w:r>
        <w:t xml:space="preserve">hxwffznkwo</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While efforts have been made to ensure accuracy, the final calculations and recommendations are contingent upon the completeness and precision of the provided parameters and assumed industry averages for placeholder data.</w:t>
      </w:r>
    </w:p>
    <w:p>
      <w:pPr>
        <w:pStyle w:val="BodyText"/>
      </w:pPr>
      <w:r>
        <w:t xml:space="preserve">Generated Date: May 26, 2026</w:t>
      </w:r>
    </w:p>
    <w:bookmarkEnd w:id="20"/>
    <w:bookmarkStart w:id="54" w:name="Xc5f249cb09507211033d4b7e193ad49c8242d21"/>
    <w:p>
      <w:pPr>
        <w:pStyle w:val="Heading1"/>
      </w:pPr>
      <w:r>
        <w:t xml:space="preserve">Product Carbon Footprint (PCF) Analysis Report for ndrwhutnre</w:t>
      </w:r>
    </w:p>
    <w:p>
      <w:pPr>
        <w:pStyle w:val="FirstParagraph"/>
      </w:pPr>
      <w:r>
        <w:rPr>
          <w:bCs/>
          <w:b/>
        </w:rPr>
        <w:t xml:space="preserve">Senior Sustainability Consultant:</w:t>
      </w:r>
      <w:r>
        <w:t xml:space="preserve"> </w:t>
      </w:r>
      <w:r>
        <w:t xml:space="preserve">hxwffznkwo</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ndrwhutnre, manufactured by gskzgdownf. The analysis follows the Greenhouse Gas (GHG) Protocol standards, incorporating the latest 2026 Land Sector and Removals (LSR) Update. The objective is to quantify the greenhouse gas emissions across the entire lifecycle of ndrwhutnre, identify key emission hotspots, and provide a foundation for strategic decarbonization efforts. The assessment covers raw material acquisition, manufacturing, transportation, use phase, and end-of-life, ensuring at least 95% coverage for Scope 3 emissions as per 2026 requirements. Due to the placeholder nature of some input parameters, certain calculations are illustrative, with specific emission factors and data points indicated where actual values would be applied.</w:t>
      </w:r>
    </w:p>
    <w:p>
      <w:r>
        <w:pict>
          <v:rect style="width:0;height:1.5pt" o:hralign="center" o:hrstd="t" o:hr="t"/>
        </w:pict>
      </w:r>
    </w:p>
    <w:bookmarkEnd w:id="21"/>
    <w:bookmarkStart w:id="27" w:name="methodology-and-scope-definition"/>
    <w:p>
      <w:pPr>
        <w:pStyle w:val="Heading2"/>
      </w:pPr>
      <w:r>
        <w:t xml:space="preserve">1. Methodology and Scope Definition</w:t>
      </w:r>
    </w:p>
    <w:p>
      <w:pPr>
        <w:pStyle w:val="FirstParagraph"/>
      </w:pPr>
      <w:r>
        <w:t xml:space="preserve">The Product Carbon Footprint (PCF) for ndrwhutnre has been calculated in accordance with the GHG Protocol Product Standard, which provides requirements and guidance for measuring the GHG emissions of a product across its lifecycle.</w:t>
      </w:r>
    </w:p>
    <w:bookmarkStart w:id="22"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 of ndrwhutnre</w:t>
      </w:r>
      <w:r>
        <w:t xml:space="preserve">. This unit serves as the reference basis for quantifying all relevant inputs and outputs throughout the product\'s life cycle.</w:t>
      </w:r>
    </w:p>
    <w:bookmarkEnd w:id="22"/>
    <w:bookmarkStart w:id="23" w:name="system-boundary"/>
    <w:p>
      <w:pPr>
        <w:pStyle w:val="Heading3"/>
      </w:pPr>
      <w:r>
        <w:t xml:space="preserve">1.2. System Boundary</w:t>
      </w:r>
    </w:p>
    <w:p>
      <w:pPr>
        <w:pStyle w:val="FirstParagraph"/>
      </w:pPr>
      <w:r>
        <w:t xml:space="preserve">The system boundary for this PCF is a</w:t>
      </w:r>
      <w:r>
        <w:t xml:space="preserve"> </w:t>
      </w:r>
      <w:r>
        <w:rPr>
          <w:bCs/>
          <w:b/>
        </w:rPr>
        <w:t xml:space="preserve">"cradle-to-gate"</w:t>
      </w:r>
      <w:r>
        <w:t xml:space="preserve"> </w:t>
      </w:r>
      <w:r>
        <w:t xml:space="preserve">approach, extended to include the use phase and end-of-life, effectively becoming a</w:t>
      </w:r>
      <w:r>
        <w:t xml:space="preserve"> </w:t>
      </w:r>
      <w:r>
        <w:rPr>
          <w:bCs/>
          <w:b/>
        </w:rPr>
        <w:t xml:space="preserve">"cradle-to-grave"</w:t>
      </w:r>
      <w:r>
        <w:t xml:space="preserve"> </w:t>
      </w:r>
      <w:r>
        <w:t xml:space="preserve">analysis for the purpose of comprehensive Scope 3 reporting. However, specifically, the "factory_gate" parameter indicates that the primary focus for the company\'s direct control is up to the point the product leaves the factory, with downstream elements being Scope 3.</w:t>
      </w:r>
    </w:p>
    <w:p>
      <w:pPr>
        <w:numPr>
          <w:ilvl w:val="0"/>
          <w:numId w:val="1001"/>
        </w:numPr>
        <w:pStyle w:val="Compact"/>
      </w:pPr>
      <w:r>
        <w:rPr>
          <w:bCs/>
          <w:b/>
        </w:rPr>
        <w:t xml:space="preserve">Upstream (Scope 3):</w:t>
      </w:r>
      <w:r>
        <w:t xml:space="preserve"> </w:t>
      </w:r>
      <w:r>
        <w:t xml:space="preserve">Raw material extraction, processing, and inbound transportation to the manufacturing facility.</w:t>
      </w:r>
    </w:p>
    <w:p>
      <w:pPr>
        <w:numPr>
          <w:ilvl w:val="0"/>
          <w:numId w:val="1001"/>
        </w:numPr>
        <w:pStyle w:val="Compact"/>
      </w:pPr>
      <w:r>
        <w:rPr>
          <w:bCs/>
          <w:b/>
        </w:rPr>
        <w:t xml:space="preserve">Core Operations (Scope 1 &amp; 2):</w:t>
      </w:r>
      <w:r>
        <w:t xml:space="preserve"> </w:t>
      </w:r>
      <w:r>
        <w:t xml:space="preserve">Manufacturing processes, direct emissions from owned/controlled sources (Scope 1), and indirect emissions from purchased electricity, heat, or steam (Scope 2).</w:t>
      </w:r>
    </w:p>
    <w:p>
      <w:pPr>
        <w:numPr>
          <w:ilvl w:val="0"/>
          <w:numId w:val="1001"/>
        </w:numPr>
        <w:pStyle w:val="Compact"/>
      </w:pPr>
      <w:r>
        <w:rPr>
          <w:bCs/>
          <w:b/>
        </w:rPr>
        <w:t xml:space="preserve">Downstream (Scope 3):</w:t>
      </w:r>
      <w:r>
        <w:t xml:space="preserve"> </w:t>
      </w:r>
      <w:r>
        <w:t xml:space="preserve">Transportation from factory gate to customer, last-mile delivery, product use phase, and end-of-life treatment.</w:t>
      </w:r>
    </w:p>
    <w:bookmarkEnd w:id="23"/>
    <w:bookmarkStart w:id="24" w:name="geographic-scope"/>
    <w:p>
      <w:pPr>
        <w:pStyle w:val="Heading3"/>
      </w:pPr>
      <w:r>
        <w:t xml:space="preserve">1.3. Geographic Scope</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w:t>
      </w:r>
    </w:p>
    <w:p>
      <w:pPr>
        <w:numPr>
          <w:ilvl w:val="0"/>
          <w:numId w:val="1002"/>
        </w:numPr>
        <w:pStyle w:val="Compact"/>
      </w:pPr>
      <w:r>
        <w:rPr>
          <w:bCs/>
          <w:b/>
        </w:rPr>
        <w:t xml:space="preserve">Use Phase &amp; End-of-Life:</w:t>
      </w:r>
      <w:r>
        <w:t xml:space="preserve"> </w:t>
      </w:r>
      <w:r>
        <w:t xml:space="preserve">Assumed to primarily occur in Europe for this analysis, aligning with the supply chain focus, though specific user locations would typically be sought for higher accuracy.</w:t>
      </w:r>
    </w:p>
    <w:bookmarkEnd w:id="24"/>
    <w:bookmarkStart w:id="25" w:name="accounting-standard"/>
    <w:p>
      <w:pPr>
        <w:pStyle w:val="Heading3"/>
      </w:pPr>
      <w:r>
        <w:t xml:space="preserve">1.4. Accounting Standard</w:t>
      </w:r>
    </w:p>
    <w:p>
      <w:pPr>
        <w:pStyle w:val="FirstParagraph"/>
      </w:pPr>
      <w:r>
        <w:t xml:space="preserve">This PCF analysis explicitly adheres to the</w:t>
      </w:r>
      <w:r>
        <w:t xml:space="preserve"> </w:t>
      </w:r>
      <w:r>
        <w:rPr>
          <w:bCs/>
          <w:b/>
        </w:rPr>
        <w:t xml:space="preserve">GHG Protocol</w:t>
      </w:r>
      <w:r>
        <w:t xml:space="preserve">, the most widely used international accounting tool for understanding, quantifying, and managing greenhouse gas emissions. The methodology classifies emissions into three scopes:</w:t>
      </w:r>
    </w:p>
    <w:p>
      <w:pPr>
        <w:numPr>
          <w:ilvl w:val="0"/>
          <w:numId w:val="1003"/>
        </w:numPr>
        <w:pStyle w:val="Compact"/>
      </w:pPr>
      <w:r>
        <w:rPr>
          <w:bCs/>
          <w:b/>
        </w:rPr>
        <w:t xml:space="preserve">Scope 1: Direct GHG Emissions</w:t>
      </w:r>
      <w:r>
        <w:t xml:space="preserve"> </w:t>
      </w:r>
      <w:r>
        <w:t xml:space="preserve">from sources owned or controlled by gskzgdownf (e.g., on-site fuel combustion, process emissions).</w:t>
      </w:r>
    </w:p>
    <w:p>
      <w:pPr>
        <w:numPr>
          <w:ilvl w:val="0"/>
          <w:numId w:val="1003"/>
        </w:numPr>
        <w:pStyle w:val="Compact"/>
      </w:pPr>
      <w:r>
        <w:rPr>
          <w:bCs/>
          <w:b/>
        </w:rPr>
        <w:t xml:space="preserve">Scope 2: Indirect GHG Emissions</w:t>
      </w:r>
      <w:r>
        <w:t xml:space="preserve"> </w:t>
      </w:r>
      <w:r>
        <w:t xml:space="preserve">from the generation of purchased electricity, heat, or steam consumed by gskzgdownf.</w:t>
      </w:r>
    </w:p>
    <w:p>
      <w:pPr>
        <w:numPr>
          <w:ilvl w:val="0"/>
          <w:numId w:val="1003"/>
        </w:numPr>
        <w:pStyle w:val="Compact"/>
      </w:pPr>
      <w:r>
        <w:rPr>
          <w:bCs/>
          <w:b/>
        </w:rPr>
        <w:t xml:space="preserve">Scope 3: Other Indirect GHG Emissions</w:t>
      </w:r>
      <w:r>
        <w:t xml:space="preserve"> </w:t>
      </w:r>
      <w:r>
        <w:t xml:space="preserve">that occur in the value chain of gskzgdownf, both upstream and downstream, encompassing emissions from purchased goods and services, transportation, use of sold products, and end-of-life treatment of sold products.</w:t>
      </w:r>
    </w:p>
    <w:bookmarkEnd w:id="25"/>
    <w:bookmarkStart w:id="26" w:name="allocation"/>
    <w:p>
      <w:pPr>
        <w:pStyle w:val="Heading3"/>
      </w:pPr>
      <w:r>
        <w:t xml:space="preserve">1.5. Allocation</w:t>
      </w:r>
    </w:p>
    <w:p>
      <w:pPr>
        <w:pStyle w:val="FirstParagraph"/>
      </w:pPr>
      <w:r>
        <w:t xml:space="preserve">For a single product PCF, emissions are allocated 100% to the product ndrwhutnre. Where shared processes (e.g., multi-product facilities) occur, mass-based allocation is generally applied, though economic allocation or other relevant methods would be considered based on specific data availability for co-products or by-products if applicable.</w:t>
      </w:r>
    </w:p>
    <w:p>
      <w:r>
        <w:pict>
          <v:rect style="width:0;height:1.5pt" o:hralign="center" o:hrstd="t" o:hr="t"/>
        </w:pict>
      </w:r>
    </w:p>
    <w:bookmarkEnd w:id="26"/>
    <w:bookmarkEnd w:id="27"/>
    <w:bookmarkStart w:id="33" w:name="lifecycle-mapping-and-inventory-stages"/>
    <w:p>
      <w:pPr>
        <w:pStyle w:val="Heading2"/>
      </w:pPr>
      <w:r>
        <w:t xml:space="preserve">2. Lifecycle Mapping and Inventory Stages</w:t>
      </w:r>
    </w:p>
    <w:p>
      <w:pPr>
        <w:pStyle w:val="FirstParagraph"/>
      </w:pPr>
      <w:r>
        <w:t xml:space="preserve">The lifecycle of ndrwhutnre is mapped into distinct stages to systematically collect and categorize emission data. This detailed breakdown ensures comprehensive coverage and aids in identifying emission hotspots.</w:t>
      </w:r>
    </w:p>
    <w:bookmarkStart w:id="28" w:name="Xff31e690bfe279af69cf88b9219fe5d56042afb"/>
    <w:p>
      <w:pPr>
        <w:pStyle w:val="Heading3"/>
      </w:pPr>
      <w:r>
        <w:t xml:space="preserve">2.1. Raw Material Acquisition &amp; Pre-processing (Scope 3 - Upstream)</w:t>
      </w:r>
    </w:p>
    <w:p>
      <w:pPr>
        <w:pStyle w:val="FirstParagraph"/>
      </w:pPr>
      <w:r>
        <w:t xml:space="preserve">This stage includes all activities related to the extraction, cultivation, harvesting, and initial processing of raw materials before they enter the manufacturing process. Emissions arise from energy consumption, land use changes, and chemical reactions during material production.</w:t>
      </w:r>
    </w:p>
    <w:bookmarkEnd w:id="28"/>
    <w:bookmarkStart w:id="29" w:name="manufacturing-scope-1-2-3---upstream"/>
    <w:p>
      <w:pPr>
        <w:pStyle w:val="Heading3"/>
      </w:pPr>
      <w:r>
        <w:t xml:space="preserve">2.2. Manufacturing (Scope 1, 2, &amp; 3 - Upstream)</w:t>
      </w:r>
    </w:p>
    <w:p>
      <w:pPr>
        <w:pStyle w:val="FirstParagraph"/>
      </w:pPr>
      <w:r>
        <w:t xml:space="preserve">This covers the transformation of raw materials into the final product, ndrwhutnre, at the gskzgdownf facility in China. Emissions in this stage include:</w:t>
      </w:r>
    </w:p>
    <w:p>
      <w:pPr>
        <w:numPr>
          <w:ilvl w:val="0"/>
          <w:numId w:val="1004"/>
        </w:numPr>
        <w:pStyle w:val="Compact"/>
      </w:pPr>
      <w:r>
        <w:rPr>
          <w:bCs/>
          <w:b/>
        </w:rPr>
        <w:t xml:space="preserve">Scope 1:</w:t>
      </w:r>
      <w:r>
        <w:t xml:space="preserve"> </w:t>
      </w:r>
      <w:r>
        <w:t xml:space="preserve">Direct emissions from company-owned or controlled equipment and processes (e.g., machinery fuel combustion, fugitive emissions).</w:t>
      </w:r>
    </w:p>
    <w:p>
      <w:pPr>
        <w:numPr>
          <w:ilvl w:val="0"/>
          <w:numId w:val="1004"/>
        </w:numPr>
        <w:pStyle w:val="Compact"/>
      </w:pPr>
      <w:r>
        <w:rPr>
          <w:bCs/>
          <w:b/>
        </w:rPr>
        <w:t xml:space="preserve">Scope 2:</w:t>
      </w:r>
      <w:r>
        <w:t xml:space="preserve"> </w:t>
      </w:r>
      <w:r>
        <w:t xml:space="preserve">Indirect emissions from purchased electricity used in manufacturing operations.</w:t>
      </w:r>
    </w:p>
    <w:p>
      <w:pPr>
        <w:numPr>
          <w:ilvl w:val="0"/>
          <w:numId w:val="1004"/>
        </w:numPr>
        <w:pStyle w:val="Compact"/>
      </w:pPr>
      <w:r>
        <w:rPr>
          <w:bCs/>
          <w:b/>
        </w:rPr>
        <w:t xml:space="preserve">Scope 3 (Upstream):</w:t>
      </w:r>
      <w:r>
        <w:t xml:space="preserve"> </w:t>
      </w:r>
      <w:r>
        <w:t xml:space="preserve">Emissions from outsourced manufacturing processes, if any, and the upstream emissions associated with purchased energy (e.g., well-to-tank emissions of fuels).</w:t>
      </w:r>
    </w:p>
    <w:bookmarkEnd w:id="29"/>
    <w:bookmarkStart w:id="30" w:name="transport-scope-3---upstream-downstream"/>
    <w:p>
      <w:pPr>
        <w:pStyle w:val="Heading3"/>
      </w:pPr>
      <w:r>
        <w:t xml:space="preserve">2.3. Transport (Scope 3 - Upstream &amp; Downstream)</w:t>
      </w:r>
    </w:p>
    <w:p>
      <w:pPr>
        <w:pStyle w:val="FirstParagraph"/>
      </w:pPr>
      <w:r>
        <w:t xml:space="preserve">This stage accounts for all transportation-related emissions throughout the value chain:</w:t>
      </w:r>
    </w:p>
    <w:p>
      <w:pPr>
        <w:numPr>
          <w:ilvl w:val="0"/>
          <w:numId w:val="1005"/>
        </w:numPr>
        <w:pStyle w:val="Compact"/>
      </w:pPr>
      <w:r>
        <w:rPr>
          <w:bCs/>
          <w:b/>
        </w:rPr>
        <w:t xml:space="preserve">Upstream Transport:</w:t>
      </w:r>
      <w:r>
        <w:t xml:space="preserve"> </w:t>
      </w:r>
      <w:r>
        <w:t xml:space="preserve">Inbound logistics of raw materials and components to the manufacturing plant.</w:t>
      </w:r>
    </w:p>
    <w:p>
      <w:pPr>
        <w:numPr>
          <w:ilvl w:val="0"/>
          <w:numId w:val="1005"/>
        </w:numPr>
        <w:pStyle w:val="Compact"/>
      </w:pPr>
      <w:r>
        <w:rPr>
          <w:bCs/>
          <w:b/>
        </w:rPr>
        <w:t xml:space="preserve">Downstream Transport:</w:t>
      </w:r>
      <w:r>
        <w:t xml:space="preserve"> </w:t>
      </w:r>
      <w:r>
        <w:t xml:space="preserve">Outbound logistics of the finished product from the factory gate to distributors, retailers, and finally to the end consumer (including last-mile delivery).</w:t>
      </w:r>
    </w:p>
    <w:bookmarkEnd w:id="30"/>
    <w:bookmarkStart w:id="31" w:name="use-phase-scope-3---downstream"/>
    <w:p>
      <w:pPr>
        <w:pStyle w:val="Heading3"/>
      </w:pPr>
      <w:r>
        <w:t xml:space="preserve">2.4. Use Phase (Scope 3 - Downstream)</w:t>
      </w:r>
    </w:p>
    <w:p>
      <w:pPr>
        <w:pStyle w:val="FirstParagraph"/>
      </w:pPr>
      <w:r>
        <w:t xml:space="preserve">This stage considers the emissions generated during the product\'s lifespan as it is used by the consumer. For ndrwhutnre, this includes energy consumption during operation.</w:t>
      </w:r>
    </w:p>
    <w:bookmarkEnd w:id="31"/>
    <w:bookmarkStart w:id="32" w:name="end-of-life-eol-scope-3---downstream"/>
    <w:p>
      <w:pPr>
        <w:pStyle w:val="Heading3"/>
      </w:pPr>
      <w:r>
        <w:t xml:space="preserve">2.5. End-of-Life (EoL) (Scope 3 - Downstream)</w:t>
      </w:r>
    </w:p>
    <w:p>
      <w:pPr>
        <w:pStyle w:val="FirstParagraph"/>
      </w:pPr>
      <w:r>
        <w:t xml:space="preserve">This stage covers the emissions associated with the disposal or recycling of ndrwhutnre after its useful life. This includes collection, sorting, recycling processes, landfilling, or incineration.</w:t>
      </w:r>
    </w:p>
    <w:p>
      <w:r>
        <w:pict>
          <v:rect style="width:0;height:1.5pt" o:hralign="center" o:hrstd="t" o:hr="t"/>
        </w:pict>
      </w:r>
    </w:p>
    <w:bookmarkEnd w:id="32"/>
    <w:bookmarkEnd w:id="33"/>
    <w:bookmarkStart w:id="39" w:name="data-collection-and-inventory"/>
    <w:p>
      <w:pPr>
        <w:pStyle w:val="Heading2"/>
      </w:pPr>
      <w:r>
        <w:t xml:space="preserve">3. Data Collection and Inventory</w:t>
      </w:r>
    </w:p>
    <w:p>
      <w:pPr>
        <w:pStyle w:val="FirstParagraph"/>
      </w:pPr>
      <w:r>
        <w:t xml:space="preserve">Data collection involved gathering both primary data (specific to gskzgdownf and ndrwhutnre) and secondary data (industry averages, emission factors from databases like Ecoinvent/DEFRA).</w:t>
      </w:r>
    </w:p>
    <w:bookmarkStart w:id="34" w:name="X2ca3ec04e325cdb1015ca6629655fd54a1b713b"/>
    <w:p>
      <w:pPr>
        <w:pStyle w:val="Heading3"/>
      </w:pPr>
      <w:r>
        <w:t xml:space="preserve">3.1. Detailed Bill of Materials (BOM) for gynkxlwz (Primary Data)</w:t>
      </w:r>
    </w:p>
    <w:p>
      <w:pPr>
        <w:pStyle w:val="FirstParagraph"/>
      </w:pPr>
      <w:r>
        <w:t xml:space="preserve">The following detailed Bill of Materials (BOM) provides specific data for the material components of ndrwhutnre. The \'Emission Factor\' and \'Total Carbon\' values provided for each item are directly incorporated into the material impact calculation, ensuring high accuracy.</w:t>
      </w:r>
    </w:p>
    <w:p>
      <w:pPr>
        <w:pStyle w:val="BodyText"/>
      </w:pPr>
      <w:r>
        <w:rPr>
          <w:bCs/>
          <w:b/>
        </w:rPr>
        <w:t xml:space="preserve">BOM Data for ndrwhutnre:</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Gynkxlwz Item 1</w:t>
            </w:r>
          </w:p>
        </w:tc>
        <w:tc>
          <w:tcPr/>
          <w:p>
            <w:pPr>
              <w:pStyle w:val="Compact"/>
              <w:jc w:val="left"/>
            </w:pPr>
            <w:r>
              <w:t xml:space="preserve">Category A</w:t>
            </w:r>
          </w:p>
        </w:tc>
        <w:tc>
          <w:tcPr/>
          <w:p>
            <w:pPr>
              <w:pStyle w:val="Compact"/>
              <w:jc w:val="left"/>
            </w:pPr>
            <w:r>
              <w:t xml:space="preserve">Process X</w:t>
            </w:r>
          </w:p>
        </w:tc>
        <w:tc>
          <w:tcPr/>
          <w:p>
            <w:pPr>
              <w:pStyle w:val="Compact"/>
              <w:jc w:val="left"/>
            </w:pPr>
            <w:r>
              <w:t xml:space="preserve">10</w:t>
            </w:r>
          </w:p>
        </w:tc>
        <w:tc>
          <w:tcPr/>
          <w:p>
            <w:pPr>
              <w:pStyle w:val="Compact"/>
              <w:jc w:val="left"/>
            </w:pPr>
            <w:r>
              <w:t xml:space="preserve">kg</w:t>
            </w:r>
          </w:p>
        </w:tc>
        <w:tc>
          <w:tcPr/>
          <w:p>
            <w:pPr>
              <w:pStyle w:val="Compact"/>
              <w:jc w:val="left"/>
            </w:pPr>
            <w:r>
              <w:t xml:space="preserve">0.5</w:t>
            </w:r>
          </w:p>
        </w:tc>
        <w:tc>
          <w:tcPr/>
          <w:p>
            <w:pPr>
              <w:pStyle w:val="Compact"/>
              <w:jc w:val="left"/>
            </w:pPr>
            <w:r>
              <w:t xml:space="preserve">5.0</w:t>
            </w:r>
          </w:p>
        </w:tc>
      </w:tr>
      <w:tr>
        <w:tc>
          <w:tcPr/>
          <w:p>
            <w:pPr>
              <w:pStyle w:val="Compact"/>
              <w:jc w:val="left"/>
            </w:pPr>
            <w:r>
              <w:t xml:space="preserve">2</w:t>
            </w:r>
          </w:p>
        </w:tc>
        <w:tc>
          <w:tcPr/>
          <w:p>
            <w:pPr>
              <w:pStyle w:val="Compact"/>
              <w:jc w:val="left"/>
            </w:pPr>
            <w:r>
              <w:t xml:space="preserve">Gynkxlwz Item 2</w:t>
            </w:r>
          </w:p>
        </w:tc>
        <w:tc>
          <w:tcPr/>
          <w:p>
            <w:pPr>
              <w:pStyle w:val="Compact"/>
              <w:jc w:val="left"/>
            </w:pPr>
            <w:r>
              <w:t xml:space="preserve">Category B</w:t>
            </w:r>
          </w:p>
        </w:tc>
        <w:tc>
          <w:tcPr/>
          <w:p>
            <w:pPr>
              <w:pStyle w:val="Compact"/>
              <w:jc w:val="left"/>
            </w:pPr>
            <w:r>
              <w:t xml:space="preserve">Process Y</w:t>
            </w:r>
          </w:p>
        </w:tc>
        <w:tc>
          <w:tcPr/>
          <w:p>
            <w:pPr>
              <w:pStyle w:val="Compact"/>
              <w:jc w:val="left"/>
            </w:pPr>
            <w:r>
              <w:t xml:space="preserve">5</w:t>
            </w:r>
          </w:p>
        </w:tc>
        <w:tc>
          <w:tcPr/>
          <w:p>
            <w:pPr>
              <w:pStyle w:val="Compact"/>
              <w:jc w:val="left"/>
            </w:pPr>
            <w:r>
              <w:t xml:space="preserve">liter</w:t>
            </w:r>
          </w:p>
        </w:tc>
        <w:tc>
          <w:tcPr/>
          <w:p>
            <w:pPr>
              <w:pStyle w:val="Compact"/>
              <w:jc w:val="left"/>
            </w:pPr>
            <w:r>
              <w:t xml:space="preserve">1.2</w:t>
            </w:r>
          </w:p>
        </w:tc>
        <w:tc>
          <w:tcPr/>
          <w:p>
            <w:pPr>
              <w:pStyle w:val="Compact"/>
              <w:jc w:val="left"/>
            </w:pPr>
            <w:r>
              <w:t xml:space="preserve">6.0</w:t>
            </w:r>
          </w:p>
        </w:tc>
      </w:tr>
      <w:tr>
        <w:tc>
          <w:tcPr/>
          <w:p>
            <w:pPr>
              <w:pStyle w:val="Compact"/>
              <w:jc w:val="left"/>
            </w:pPr>
            <w:r>
              <w:t xml:space="preserve">3</w:t>
            </w:r>
          </w:p>
        </w:tc>
        <w:tc>
          <w:tcPr/>
          <w:p>
            <w:pPr>
              <w:pStyle w:val="Compact"/>
              <w:jc w:val="left"/>
            </w:pPr>
            <w:r>
              <w:t xml:space="preserve">Gynkxlwz Item 3</w:t>
            </w:r>
          </w:p>
        </w:tc>
        <w:tc>
          <w:tcPr/>
          <w:p>
            <w:pPr>
              <w:pStyle w:val="Compact"/>
              <w:jc w:val="left"/>
            </w:pPr>
            <w:r>
              <w:t xml:space="preserve">Category C</w:t>
            </w:r>
          </w:p>
        </w:tc>
        <w:tc>
          <w:tcPr/>
          <w:p>
            <w:pPr>
              <w:pStyle w:val="Compact"/>
              <w:jc w:val="left"/>
            </w:pPr>
            <w:r>
              <w:t xml:space="preserve">Process Z</w:t>
            </w:r>
          </w:p>
        </w:tc>
        <w:tc>
          <w:tcPr/>
          <w:p>
            <w:pPr>
              <w:pStyle w:val="Compact"/>
              <w:jc w:val="left"/>
            </w:pPr>
            <w:r>
              <w:t xml:space="preserve">2</w:t>
            </w:r>
          </w:p>
        </w:tc>
        <w:tc>
          <w:tcPr/>
          <w:p>
            <w:pPr>
              <w:pStyle w:val="Compact"/>
              <w:jc w:val="left"/>
            </w:pPr>
            <w:r>
              <w:t xml:space="preserve">unit</w:t>
            </w:r>
          </w:p>
        </w:tc>
        <w:tc>
          <w:tcPr/>
          <w:p>
            <w:pPr>
              <w:pStyle w:val="Compact"/>
              <w:jc w:val="left"/>
            </w:pPr>
            <w:r>
              <w:t xml:space="preserve">2.0</w:t>
            </w:r>
          </w:p>
        </w:tc>
        <w:tc>
          <w:tcPr/>
          <w:p>
            <w:pPr>
              <w:pStyle w:val="Compact"/>
              <w:jc w:val="left"/>
            </w:pPr>
            <w:r>
              <w:t xml:space="preserve">4.0</w:t>
            </w:r>
          </w:p>
        </w:tc>
      </w:tr>
    </w:tbl>
    <w:p>
      <w:pPr>
        <w:pStyle w:val="BodyText"/>
      </w:pPr>
      <w:r>
        <w:rPr>
          <w:iCs/>
          <w:i/>
        </w:rPr>
        <w:t xml:space="preserve">Note: The table above uses illustrative values for \'Qty\', \'Unit\', \'Emission Factor\', and \'Total Carbon\' as the actual content of \'gynkxlwz\' was provided as a placeholder string. In a real analysis, the precise numerical values from the BOM would be used. The \'Total Carbon\' column represents the pre-calculated emissions for each component.</w:t>
      </w:r>
    </w:p>
    <w:bookmarkEnd w:id="34"/>
    <w:bookmarkStart w:id="35" w:name="X4bf41d24c1d817630f5629c5c25034d1996ddea"/>
    <w:p>
      <w:pPr>
        <w:pStyle w:val="Heading3"/>
      </w:pPr>
      <w:r>
        <w:t xml:space="preserve">3.2. Energy Inputs for Production (Primary Data)</w:t>
      </w:r>
    </w:p>
    <w:p>
      <w:pPr>
        <w:numPr>
          <w:ilvl w:val="0"/>
          <w:numId w:val="1006"/>
        </w:numPr>
        <w:pStyle w:val="Compact"/>
      </w:pPr>
      <w:r>
        <w:rPr>
          <w:bCs/>
          <w:b/>
        </w:rPr>
        <w:t xml:space="preserve">Renewable Energy Usage:</w:t>
      </w:r>
      <w:r>
        <w:t xml:space="preserve"> </w:t>
      </w:r>
      <w:r>
        <w:t xml:space="preserve">dglezdnlop% (Percentage of electricity from renewable sources used in production).</w:t>
      </w:r>
    </w:p>
    <w:p>
      <w:pPr>
        <w:numPr>
          <w:ilvl w:val="0"/>
          <w:numId w:val="1006"/>
        </w:numPr>
        <w:pStyle w:val="Compact"/>
      </w:pPr>
      <w:r>
        <w:rPr>
          <w:bCs/>
          <w:b/>
        </w:rPr>
        <w:t xml:space="preserve">Energy Intensity (kWh/unit):</w:t>
      </w:r>
      <w:r>
        <w:t xml:space="preserve"> </w:t>
      </w:r>
      <w:r>
        <w:t xml:space="preserve">mlpghovtlv (Electricity consumed per unit of ndrwhutnre during manufacturing).</w:t>
      </w:r>
    </w:p>
    <w:p>
      <w:pPr>
        <w:pStyle w:val="FirstParagraph"/>
      </w:pPr>
      <w:r>
        <w:rPr>
          <w:iCs/>
          <w:i/>
        </w:rPr>
        <w:t xml:space="preserve">Note: These values are placeholders. Actual numerical data would be critical for precise calculations.</w:t>
      </w:r>
    </w:p>
    <w:bookmarkEnd w:id="35"/>
    <w:bookmarkStart w:id="36" w:name="logistics-data-primary-data"/>
    <w:p>
      <w:pPr>
        <w:pStyle w:val="Heading3"/>
      </w:pPr>
      <w:r>
        <w:t xml:space="preserve">3.3. Logistics Data (Primary Data)</w:t>
      </w:r>
    </w:p>
    <w:p>
      <w:pPr>
        <w:numPr>
          <w:ilvl w:val="0"/>
          <w:numId w:val="1007"/>
        </w:numPr>
        <w:pStyle w:val="Compact"/>
      </w:pPr>
      <w:r>
        <w:rPr>
          <w:bCs/>
          <w:b/>
        </w:rPr>
        <w:t xml:space="preserve">Transport Mode:</w:t>
      </w:r>
      <w:r>
        <w:t xml:space="preserve"> </w:t>
      </w:r>
      <w:r>
        <w:t xml:space="preserve">Select Mode (e.g., Road, Rail, Sea, Air).</w:t>
      </w:r>
    </w:p>
    <w:p>
      <w:pPr>
        <w:numPr>
          <w:ilvl w:val="0"/>
          <w:numId w:val="1007"/>
        </w:numPr>
        <w:pStyle w:val="Compact"/>
      </w:pPr>
      <w:r>
        <w:rPr>
          <w:bCs/>
          <w:b/>
        </w:rPr>
        <w:t xml:space="preserve">Transport Distance:</w:t>
      </w:r>
      <w:r>
        <w:t xml:space="preserve"> </w:t>
      </w:r>
      <w:r>
        <w:t xml:space="preserve">kpmmupxzzf km.</w:t>
      </w:r>
    </w:p>
    <w:p>
      <w:pPr>
        <w:numPr>
          <w:ilvl w:val="0"/>
          <w:numId w:val="1007"/>
        </w:numPr>
        <w:pStyle w:val="Compact"/>
      </w:pPr>
      <w:r>
        <w:rPr>
          <w:bCs/>
          <w:b/>
        </w:rPr>
        <w:t xml:space="preserve">Last-Mile Delivery Channel:</w:t>
      </w:r>
      <w:r>
        <w:t xml:space="preserve"> </w:t>
      </w:r>
      <w:r>
        <w:t xml:space="preserve">Delivery Type (e.g., Van, Scooter, Drone).</w:t>
      </w:r>
    </w:p>
    <w:p>
      <w:pPr>
        <w:pStyle w:val="FirstParagraph"/>
      </w:pPr>
      <w:r>
        <w:rPr>
          <w:iCs/>
          <w:i/>
        </w:rPr>
        <w:t xml:space="preserve">Note: These values are placeholders. Detailed mode and vehicle-specific data are essential for accurate transport emission calculations.</w:t>
      </w:r>
    </w:p>
    <w:bookmarkEnd w:id="36"/>
    <w:bookmarkStart w:id="37" w:name="product-use-phase-data-primary-data"/>
    <w:p>
      <w:pPr>
        <w:pStyle w:val="Heading3"/>
      </w:pPr>
      <w:r>
        <w:t xml:space="preserve">3.4. Product Use Phase Data (Primary Data)</w:t>
      </w:r>
    </w:p>
    <w:p>
      <w:pPr>
        <w:numPr>
          <w:ilvl w:val="0"/>
          <w:numId w:val="1008"/>
        </w:numPr>
        <w:pStyle w:val="Compact"/>
      </w:pPr>
      <w:r>
        <w:rPr>
          <w:bCs/>
          <w:b/>
        </w:rPr>
        <w:t xml:space="preserve">Product Lifespan:</w:t>
      </w:r>
      <w:r>
        <w:t xml:space="preserve"> </w:t>
      </w:r>
      <w:r>
        <w:t xml:space="preserve">uzvknwiqmg years.</w:t>
      </w:r>
    </w:p>
    <w:p>
      <w:pPr>
        <w:numPr>
          <w:ilvl w:val="0"/>
          <w:numId w:val="1008"/>
        </w:numPr>
        <w:pStyle w:val="Compact"/>
      </w:pPr>
      <w:r>
        <w:rPr>
          <w:bCs/>
          <w:b/>
        </w:rPr>
        <w:t xml:space="preserve">Energy Consumption in Use:</w:t>
      </w:r>
      <w:r>
        <w:t xml:space="preserve"> </w:t>
      </w:r>
      <w:r>
        <w:t xml:space="preserve">osowhlkllr kWh/year.</w:t>
      </w:r>
    </w:p>
    <w:p>
      <w:pPr>
        <w:pStyle w:val="FirstParagraph"/>
      </w:pPr>
      <w:r>
        <w:rPr>
          <w:iCs/>
          <w:i/>
        </w:rPr>
        <w:t xml:space="preserve">Note: These values are placeholders.</w:t>
      </w:r>
    </w:p>
    <w:bookmarkEnd w:id="37"/>
    <w:bookmarkStart w:id="38" w:name="end-of-life-scenarios-primary-data"/>
    <w:p>
      <w:pPr>
        <w:pStyle w:val="Heading3"/>
      </w:pPr>
      <w:r>
        <w:t xml:space="preserve">3.5. End-of-Life Scenarios (Primary Data)</w:t>
      </w:r>
    </w:p>
    <w:p>
      <w:pPr>
        <w:numPr>
          <w:ilvl w:val="0"/>
          <w:numId w:val="1009"/>
        </w:numPr>
        <w:pStyle w:val="Compact"/>
      </w:pPr>
      <w:r>
        <w:rPr>
          <w:bCs/>
          <w:b/>
        </w:rPr>
        <w:t xml:space="preserve">Recyclability Percentage:</w:t>
      </w:r>
      <w:r>
        <w:t xml:space="preserve"> </w:t>
      </w:r>
      <w:r>
        <w:t xml:space="preserve">ezrkeexkke% (Percentage of the product that is recyclable).</w:t>
      </w:r>
    </w:p>
    <w:p>
      <w:pPr>
        <w:numPr>
          <w:ilvl w:val="0"/>
          <w:numId w:val="1009"/>
        </w:numPr>
        <w:pStyle w:val="Compact"/>
      </w:pPr>
      <w:r>
        <w:rPr>
          <w:bCs/>
          <w:b/>
        </w:rPr>
        <w:t xml:space="preserve">Circular/Take-back Programs:</w:t>
      </w:r>
      <w:r>
        <w:t xml:space="preserve"> </w:t>
      </w:r>
      <w:r>
        <w:t xml:space="preserve">jjtnljmmpt (Description of programs, e.g., "Established take-back program for components").</w:t>
      </w:r>
    </w:p>
    <w:p>
      <w:pPr>
        <w:pStyle w:val="FirstParagraph"/>
      </w:pPr>
      <w:r>
        <w:rPr>
          <w:iCs/>
          <w:i/>
        </w:rPr>
        <w:t xml:space="preserve">Note: These values are placeholders.</w:t>
      </w:r>
    </w:p>
    <w:p>
      <w:r>
        <w:pict>
          <v:rect style="width:0;height:1.5pt" o:hralign="center" o:hrstd="t" o:hr="t"/>
        </w:pict>
      </w:r>
    </w:p>
    <w:bookmarkEnd w:id="38"/>
    <w:bookmarkEnd w:id="39"/>
    <w:bookmarkStart w:id="49" w:name="X439a6e6dcb43c636bf515ffaf3f59bce0bd6490"/>
    <w:p>
      <w:pPr>
        <w:pStyle w:val="Heading2"/>
      </w:pPr>
      <w:r>
        <w:t xml:space="preserve">4. Emission Calculation (Activity * Emission Factor = CO2e)</w:t>
      </w:r>
    </w:p>
    <w:p>
      <w:pPr>
        <w:pStyle w:val="FirstParagraph"/>
      </w:pPr>
      <w:r>
        <w:t xml:space="preserve">Emissions are calculated for each life cycle stage and categorized into Scope 1, 2, and 3. All emissions are expressed in kilograms of CO2 equivalent (kg CO2e).</w:t>
      </w:r>
    </w:p>
    <w:bookmarkStart w:id="40" w:name="scope-1-emissions-direct-emissions"/>
    <w:p>
      <w:pPr>
        <w:pStyle w:val="Heading3"/>
      </w:pPr>
      <w:r>
        <w:t xml:space="preserve">4.1. Scope 1 Emissions (Direct Emissions)</w:t>
      </w:r>
    </w:p>
    <w:p>
      <w:pPr>
        <w:pStyle w:val="FirstParagraph"/>
      </w:pPr>
      <w:r>
        <w:t xml:space="preserve">These emissions arise from sources owned or controlled by gskzgdownf. For the "factory_gate" system boundary, this primarily includes direct fuel combustion for manufacturing processes and company-owned fleet vehicles (if applicable and within the facility boundary). As specific Scope 1 activities are not detailed in the parameters beyond manufacturing energy intensity, we assume that any direct combustion or process emissions at the production facility would be quantified here.</w:t>
      </w:r>
    </w:p>
    <w:p>
      <w:pPr>
        <w:pStyle w:val="BodyText"/>
      </w:pPr>
      <w:r>
        <w:rPr>
          <w:bCs/>
          <w:b/>
        </w:rPr>
        <w:t xml:space="preserve">Illustrative Calculation Approach:</w:t>
      </w:r>
    </w:p>
    <w:p>
      <w:pPr>
        <w:pStyle w:val="BodyText"/>
      </w:pPr>
      <w:r>
        <w:rPr>
          <w:rStyle w:val="VerbatimChar"/>
        </w:rPr>
        <w:t xml:space="preserve">Scope 1 Emissions = Sum (Fuel Consumption * Fuel Emission Factor) + Sum (Process Emissions)</w:t>
      </w:r>
    </w:p>
    <w:p>
      <w:pPr>
        <w:pStyle w:val="BodyText"/>
      </w:pPr>
      <w:r>
        <w:rPr>
          <w:iCs/>
          <w:i/>
        </w:rPr>
        <w:t xml:space="preserve">Note: Without specific fuel consumption data for Scope 1 activities, a numerical calculation cannot be provided.</w:t>
      </w:r>
    </w:p>
    <w:bookmarkEnd w:id="40"/>
    <w:bookmarkStart w:id="41" w:name="scope-2-emissions-purchased-energy"/>
    <w:p>
      <w:pPr>
        <w:pStyle w:val="Heading3"/>
      </w:pPr>
      <w:r>
        <w:t xml:space="preserve">4.2. Scope 2 Emissions (Purchased Energy)</w:t>
      </w:r>
    </w:p>
    <w:p>
      <w:pPr>
        <w:pStyle w:val="FirstParagraph"/>
      </w:pPr>
      <w:r>
        <w:t xml:space="preserve">These are indirect emissions from the generation of purchased electricity for the manufacturing facility in China.</w:t>
      </w:r>
    </w:p>
    <w:p>
      <w:pPr>
        <w:pStyle w:val="BodyText"/>
      </w:pPr>
      <w:r>
        <w:rPr>
          <w:bCs/>
          <w:b/>
        </w:rPr>
        <w:t xml:space="preserve">Calculation for Manufacturing Phase:</w:t>
      </w:r>
    </w:p>
    <w:p>
      <w:pPr>
        <w:pStyle w:val="BodyText"/>
      </w:pPr>
      <w:r>
        <w:t xml:space="preserve">Total Electricity Used = Energy Intensity (mlpghovtlv kWh/unit) * 1.0 unit</w:t>
      </w:r>
    </w:p>
    <w:p>
      <w:pPr>
        <w:pStyle w:val="BodyText"/>
      </w:pPr>
      <w:r>
        <w:t xml:space="preserve">Non-Renewable Electricity Used = Total Electricity Used * (1 - dglezdnlop / 100)</w:t>
      </w:r>
    </w:p>
    <w:p>
      <w:pPr>
        <w:pStyle w:val="BodyText"/>
      </w:pPr>
      <w:r>
        <w:t xml:space="preserve">Renewable Electricity Used = Total Electricity Used * (dglezdnlop / 100)</w:t>
      </w:r>
    </w:p>
    <w:p>
      <w:pPr>
        <w:pStyle w:val="BodyText"/>
      </w:pPr>
      <w:r>
        <w:t xml:space="preserve">For China, a comprehensive electricity footprint in 2021 was approximately 0.6835 kg CO2e/kWh. While provincial variations exist, this national average serves as an illustrative grid emission factor for non-renewable portions.</w:t>
      </w:r>
    </w:p>
    <w:p>
      <w:pPr>
        <w:pStyle w:val="BodyText"/>
      </w:pPr>
      <w:r>
        <w:t xml:space="preserve">A typical renewable energy source (e.g., wind, solar) has a near-zero operational emission factor, though upstream emissions exist. For purchased renewables, direct emissions at point of use are zero.</w:t>
      </w:r>
    </w:p>
    <w:p>
      <w:pPr>
        <w:pStyle w:val="BodyText"/>
      </w:pPr>
      <w:r>
        <w:rPr>
          <w:rStyle w:val="VerbatimChar"/>
        </w:rPr>
        <w:t xml:space="preserve">Scope 2 Emissions = (Non-Renewable Electricity Used * China Grid Emission Factor) + (Renewable Electricity Used * Renewable Energy Emission Factor)</w:t>
      </w:r>
    </w:p>
    <w:p>
      <w:pPr>
        <w:pStyle w:val="BodyText"/>
      </w:pPr>
      <w:r>
        <w:rPr>
          <w:iCs/>
          <w:i/>
        </w:rPr>
        <w:t xml:space="preserve">Illustrative Example (using 0.6835 kg CO2e/kWh for China grid and 0.01 kg CO2e/kWh for renewables for upstream emissions if any, assuming mlpghovtlv = 10 kWh/unit and dglezdnlop = 30%):</w:t>
      </w:r>
    </w:p>
    <w:p>
      <w:pPr>
        <w:numPr>
          <w:ilvl w:val="0"/>
          <w:numId w:val="1010"/>
        </w:numPr>
        <w:pStyle w:val="Compact"/>
      </w:pPr>
      <w:r>
        <w:t xml:space="preserve">Non-Renewable Electricity = 10 kWh * (1 - 0.30) = 7 kWh</w:t>
      </w:r>
    </w:p>
    <w:p>
      <w:pPr>
        <w:numPr>
          <w:ilvl w:val="0"/>
          <w:numId w:val="1010"/>
        </w:numPr>
        <w:pStyle w:val="Compact"/>
      </w:pPr>
      <w:r>
        <w:t xml:space="preserve">Renewable Electricity = 10 kWh * 0.30 = 3 kWh</w:t>
      </w:r>
    </w:p>
    <w:p>
      <w:pPr>
        <w:numPr>
          <w:ilvl w:val="0"/>
          <w:numId w:val="1010"/>
        </w:numPr>
        <w:pStyle w:val="Compact"/>
      </w:pPr>
      <w:r>
        <w:t xml:space="preserve">Scope 2 Emissions = (7 kWh * 0.6835 kg CO2e/kWh) + (3 kWh * 0.01 kg CO2e/kWh) = 4.7845 kg CO2e + 0.03 kg CO2e = 4.8145 kg CO2e (per unit)</w:t>
      </w:r>
    </w:p>
    <w:bookmarkEnd w:id="41"/>
    <w:bookmarkStart w:id="46" w:name="scope-3-emissions-value-chain-emissions"/>
    <w:p>
      <w:pPr>
        <w:pStyle w:val="Heading3"/>
      </w:pPr>
      <w:r>
        <w:t xml:space="preserve">4.3. Scope 3 Emissions (Value Chain Emissions)</w:t>
      </w:r>
    </w:p>
    <w:p>
      <w:pPr>
        <w:pStyle w:val="FirstParagraph"/>
      </w:pPr>
      <w:r>
        <w:t xml:space="preserve">Scope 3 emissions constitute the majority of a product\'s carbon footprint and require comprehensive data collection. This report aims for at least 95% coverage for Scope 3 reporting as per 2026 requirements.</w:t>
      </w:r>
    </w:p>
    <w:bookmarkStart w:id="42" w:name="Xab9729a0caae076ca89f2f71668734f92723cf2"/>
    <w:p>
      <w:pPr>
        <w:pStyle w:val="Heading4"/>
      </w:pPr>
      <w:r>
        <w:t xml:space="preserve">4.3.1. Category 1: Purchased Goods and Services (Materials)</w:t>
      </w:r>
    </w:p>
    <w:p>
      <w:pPr>
        <w:pStyle w:val="FirstParagraph"/>
      </w:pPr>
      <w:r>
        <w:t xml:space="preserve">Emissions from the extraction, production, and pre-processing of raw materials and components as detailed in the Bill of Materials (BOM).</w:t>
      </w:r>
    </w:p>
    <w:p>
      <w:pPr>
        <w:pStyle w:val="BodyText"/>
      </w:pPr>
      <w:r>
        <w:rPr>
          <w:bCs/>
          <w:b/>
        </w:rPr>
        <w:t xml:space="preserve">Calculation:</w:t>
      </w:r>
    </w:p>
    <w:p>
      <w:pPr>
        <w:pStyle w:val="BodyText"/>
      </w:pPr>
      <w:r>
        <w:rPr>
          <w:rStyle w:val="VerbatimChar"/>
        </w:rPr>
        <w:t xml:space="preserve">Scope 3 - Materials = Sum of \'Total Carbon (kg CO2e)\' from each item in gynkxlwz</w:t>
      </w:r>
    </w:p>
    <w:p>
      <w:pPr>
        <w:pStyle w:val="BodyText"/>
      </w:pPr>
      <w:r>
        <w:rPr>
          <w:iCs/>
          <w:i/>
        </w:rPr>
        <w:t xml:space="preserve">Illustrative Example (based on provided BOM table):</w:t>
      </w:r>
    </w:p>
    <w:p>
      <w:pPr>
        <w:numPr>
          <w:ilvl w:val="0"/>
          <w:numId w:val="1011"/>
        </w:numPr>
        <w:pStyle w:val="Compact"/>
      </w:pPr>
      <w:r>
        <w:t xml:space="preserve">Total Material Emissions = 5.0 kg CO2e (Item 1) + 6.0 kg CO2e (Item 2) + 4.0 kg CO2e (Item 3) = 15.0 kg CO2e (per unit)</w:t>
      </w:r>
    </w:p>
    <w:bookmarkEnd w:id="42"/>
    <w:bookmarkStart w:id="43" w:name="X21658814ba1df78d749153f7220ead88136567b"/>
    <w:p>
      <w:pPr>
        <w:pStyle w:val="Heading4"/>
      </w:pPr>
      <w:r>
        <w:t xml:space="preserve">4.3.2. Category 4 &amp; 9: Upstream and Downstream Transportation and Distribution</w:t>
      </w:r>
    </w:p>
    <w:p>
      <w:pPr>
        <w:pStyle w:val="FirstParagraph"/>
      </w:pPr>
      <w:r>
        <w:t xml:space="preserve">Emissions from inbound logistics of materials and outbound logistics of finished products.</w:t>
      </w:r>
    </w:p>
    <w:p>
      <w:pPr>
        <w:pStyle w:val="BodyText"/>
      </w:pPr>
      <w:r>
        <w:rPr>
          <w:bCs/>
          <w:b/>
        </w:rPr>
        <w:t xml:space="preserve">Calculation:</w:t>
      </w:r>
      <w:r>
        <w:t xml:space="preserve"> </w:t>
      </w:r>
      <w:r>
        <w:t xml:space="preserve">Emissions are typically calculated using activity data (mass and distance) multiplied by mode-specific emission factors (e.g., in kg CO2e/tonne-km).</w:t>
      </w:r>
    </w:p>
    <w:p>
      <w:pPr>
        <w:pStyle w:val="BodyText"/>
      </w:pPr>
      <w:r>
        <w:rPr>
          <w:rStyle w:val="VerbatimChar"/>
        </w:rPr>
        <w:t xml:space="preserve">Scope 3 - Transport = (Product Mass * Transport Distance (kpmmupxzzf) * Transport Mode Emission Factor (Select Mode)) + (Product Mass * Last-Mile Delivery Distance * Delivery Type Emission Factor)</w:t>
      </w:r>
    </w:p>
    <w:p>
      <w:pPr>
        <w:pStyle w:val="BodyText"/>
      </w:pPr>
      <w:r>
        <w:rPr>
          <w:iCs/>
          <w:i/>
        </w:rPr>
        <w:t xml:space="preserve">Illustrative Example (assuming product mass of 1 kg, kpmmupxzzf = 1000 km, generic "Select Mode" factor of 0.1 kg CO2e/tonne-km, and "Delivery Type" factor of 0.2 kg CO2e/tonne-km for 50 km last-mile):</w:t>
      </w:r>
    </w:p>
    <w:p>
      <w:pPr>
        <w:numPr>
          <w:ilvl w:val="0"/>
          <w:numId w:val="1012"/>
        </w:numPr>
        <w:pStyle w:val="Compact"/>
      </w:pPr>
      <w:r>
        <w:t xml:space="preserve">Upstream/Downstream Transport (Main) = 1 kg * 1000 km * (0.1 kg CO2e/tonne-km / 1000 kg/tonne) = 0.1 kg CO2e</w:t>
      </w:r>
    </w:p>
    <w:p>
      <w:pPr>
        <w:numPr>
          <w:ilvl w:val="0"/>
          <w:numId w:val="1012"/>
        </w:numPr>
        <w:pStyle w:val="Compact"/>
      </w:pPr>
      <w:r>
        <w:t xml:space="preserve">Last-Mile Delivery = 1 kg * 50 km * (0.2 kg CO2e/tonne-km / 1000 kg/tonne) = 0.01 kg CO2e</w:t>
      </w:r>
    </w:p>
    <w:p>
      <w:pPr>
        <w:numPr>
          <w:ilvl w:val="0"/>
          <w:numId w:val="1012"/>
        </w:numPr>
        <w:pStyle w:val="Compact"/>
      </w:pPr>
      <w:r>
        <w:t xml:space="preserve">Total Transport Emissions = 0.11 kg CO2e (per unit)</w:t>
      </w:r>
    </w:p>
    <w:p>
      <w:pPr>
        <w:pStyle w:val="FirstParagraph"/>
      </w:pPr>
      <w:r>
        <w:rPr>
          <w:iCs/>
          <w:i/>
        </w:rPr>
        <w:t xml:space="preserve">Note: Actual emission factors vary significantly by mode, vehicle type, fuel, and load factor. For an accurate calculation, specific emission factors for \'Select Mode\' and \'Delivery Type\' from recognized databases (e.g., DEFRA, Ecoinvent) would be applied.</w:t>
      </w:r>
    </w:p>
    <w:bookmarkEnd w:id="43"/>
    <w:bookmarkStart w:id="44" w:name="category-11-use-of-sold-products"/>
    <w:p>
      <w:pPr>
        <w:pStyle w:val="Heading4"/>
      </w:pPr>
      <w:r>
        <w:t xml:space="preserve">4.3.3. Category 11: Use of Sold Products</w:t>
      </w:r>
    </w:p>
    <w:p>
      <w:pPr>
        <w:pStyle w:val="FirstParagraph"/>
      </w:pPr>
      <w:r>
        <w:t xml:space="preserve">Emissions generated during the entire lifespan (uzvknwiqmg years) of ndrwhutnre due to its energy consumption (osowhlkllr kWh/year).</w:t>
      </w:r>
    </w:p>
    <w:p>
      <w:pPr>
        <w:pStyle w:val="BodyText"/>
      </w:pPr>
      <w:r>
        <w:rPr>
          <w:bCs/>
          <w:b/>
        </w:rPr>
        <w:t xml:space="preserve">Calculation:</w:t>
      </w:r>
      <w:r>
        <w:t xml:space="preserve"> </w:t>
      </w:r>
      <w:r>
        <w:t xml:space="preserve">This requires an assumption of the regional electricity mix where the product is used. Assuming a European average grid emission factor for illustrative purposes (e.g., 0.25 kg CO2e/kWh).</w:t>
      </w:r>
    </w:p>
    <w:p>
      <w:pPr>
        <w:pStyle w:val="BodyText"/>
      </w:pPr>
      <w:r>
        <w:rPr>
          <w:rStyle w:val="VerbatimChar"/>
        </w:rPr>
        <w:t xml:space="preserve">Scope 3 - Use Phase = Energy Consumption in Use (osowhlkllr kWh/year) * Product Lifespan (uzvknwiqmg years) * User Region Grid Emission Factor</w:t>
      </w:r>
    </w:p>
    <w:p>
      <w:pPr>
        <w:pStyle w:val="BodyText"/>
      </w:pPr>
      <w:r>
        <w:rPr>
          <w:iCs/>
          <w:i/>
        </w:rPr>
        <w:t xml:space="preserve">Illustrative Example (assuming osowhlkllr = 5 kWh/year, uzvknwiqmg = 5 years, and a generic European grid factor of 0.25 kg CO2e/kWh):</w:t>
      </w:r>
    </w:p>
    <w:p>
      <w:pPr>
        <w:numPr>
          <w:ilvl w:val="0"/>
          <w:numId w:val="1013"/>
        </w:numPr>
        <w:pStyle w:val="Compact"/>
      </w:pPr>
      <w:r>
        <w:t xml:space="preserve">Use Phase Emissions = 5 kWh/year * 5 years * 0.25 kg CO2e/kWh = 6.25 kg CO2e (per unit)</w:t>
      </w:r>
    </w:p>
    <w:p>
      <w:pPr>
        <w:pStyle w:val="FirstParagraph"/>
      </w:pPr>
      <w:r>
        <w:rPr>
          <w:iCs/>
          <w:i/>
        </w:rPr>
        <w:t xml:space="preserve">Note: The actual grid emission factor would depend on the specific country of use.</w:t>
      </w:r>
    </w:p>
    <w:bookmarkEnd w:id="44"/>
    <w:bookmarkStart w:id="45" w:name="X9f66eef2700632e081dfe139021cb724ffcd2c5"/>
    <w:p>
      <w:pPr>
        <w:pStyle w:val="Heading4"/>
      </w:pPr>
      <w:r>
        <w:t xml:space="preserve">4.3.4. Category 12: End-of-Life Treatment of Sold Products</w:t>
      </w:r>
    </w:p>
    <w:p>
      <w:pPr>
        <w:pStyle w:val="FirstParagraph"/>
      </w:pPr>
      <w:r>
        <w:t xml:space="preserve">Emissions from the disposal and recycling of ndrwhutnre at the end of its lifespan.</w:t>
      </w:r>
    </w:p>
    <w:p>
      <w:pPr>
        <w:pStyle w:val="BodyText"/>
      </w:pPr>
      <w:r>
        <w:rPr>
          <w:bCs/>
          <w:b/>
        </w:rPr>
        <w:t xml:space="preserve">Calculation:</w:t>
      </w:r>
      <w:r>
        <w:t xml:space="preserve"> </w:t>
      </w:r>
      <w:r>
        <w:t xml:space="preserve">Emissions are calculated based on the recyclability percentage (ezrkeexkke%) and the impact of circular/take-back programs (jjtnljmmpt). Emissions are incurred for non-recycled portions (e.g., landfilling, incineration), while recycling can offer avoided emissions or credits.</w:t>
      </w:r>
    </w:p>
    <w:p>
      <w:pPr>
        <w:pStyle w:val="BodyText"/>
      </w:pPr>
      <w:r>
        <w:rPr>
          <w:rStyle w:val="VerbatimChar"/>
        </w:rPr>
        <w:t xml:space="preserve">Scope 3 - EoL = (Product Mass * (1 - ezrkeexkke/100) * Disposal Emission Factor) - (Product Mass * (ezrkeexkke/100) * Recycling Credit/Avoided Emission Factor) + Emissions/Credits from jjtnljmmpt</w:t>
      </w:r>
    </w:p>
    <w:p>
      <w:pPr>
        <w:pStyle w:val="BodyText"/>
      </w:pPr>
      <w:r>
        <w:rPr>
          <w:iCs/>
          <w:i/>
        </w:rPr>
        <w:t xml:space="preserve">Illustrative Example (assuming product mass of 1 kg, ezrkeexkke = 70%, generic disposal factor of 1.0 kg CO2e/kg for remaining 30%, and recycling credit of 0.5 kg CO2e/kg for recycled 70%, and jjtnljmmpt provides a credit of 0.1 kg CO2e/unit):</w:t>
      </w:r>
    </w:p>
    <w:p>
      <w:pPr>
        <w:numPr>
          <w:ilvl w:val="0"/>
          <w:numId w:val="1014"/>
        </w:numPr>
        <w:pStyle w:val="Compact"/>
      </w:pPr>
      <w:r>
        <w:t xml:space="preserve">Disposal Emissions = 1 kg * (1 - 0.70) * 1.0 kg CO2e/kg = 0.3 kg CO2e</w:t>
      </w:r>
    </w:p>
    <w:p>
      <w:pPr>
        <w:numPr>
          <w:ilvl w:val="0"/>
          <w:numId w:val="1014"/>
        </w:numPr>
        <w:pStyle w:val="Compact"/>
      </w:pPr>
      <w:r>
        <w:t xml:space="preserve">Recycling Credit = 1 kg * 0.70 * 0.5 kg CO2e/kg = 0.35 kg CO2e (avoided, so subtracted)</w:t>
      </w:r>
    </w:p>
    <w:p>
      <w:pPr>
        <w:numPr>
          <w:ilvl w:val="0"/>
          <w:numId w:val="1014"/>
        </w:numPr>
        <w:pStyle w:val="Compact"/>
      </w:pPr>
      <w:r>
        <w:t xml:space="preserve">EoL Emissions = 0.3 kg CO2e - 0.35 kg CO2e - 0.1 kg CO2e (from jjtnljmmpt credit) = -0.15 kg CO2e (a net removal/credit)</w:t>
      </w:r>
    </w:p>
    <w:p>
      <w:pPr>
        <w:pStyle w:val="FirstParagraph"/>
      </w:pPr>
      <w:r>
        <w:rPr>
          <w:iCs/>
          <w:i/>
        </w:rPr>
        <w:t xml:space="preserve">Note: Specific emission factors for disposal methods (landfill, incineration) and recycling credits for different materials would be sourced from databases like EPA WARM or Ecoinvent. The impact of \'jjtnljmmpt\' (circular/take-back programs) would be quantified based on their specific outcomes (e.g., material reuse, extended lifespan).</w:t>
      </w:r>
    </w:p>
    <w:bookmarkEnd w:id="45"/>
    <w:bookmarkEnd w:id="46"/>
    <w:bookmarkStart w:id="47" w:name="X7ef73fe3d39a8d84fae696b42f814aa0d860ec0"/>
    <w:p>
      <w:pPr>
        <w:pStyle w:val="Heading3"/>
      </w:pPr>
      <w:r>
        <w:t xml:space="preserve">4.4. 2026 LSR Update (Land Sector and Removals Standard)</w:t>
      </w:r>
    </w:p>
    <w:p>
      <w:pPr>
        <w:pStyle w:val="FirstParagraph"/>
      </w:pPr>
      <w:r>
        <w:t xml:space="preserve">The GHG Protocol\'s Land Sector and Removals (LSR) Standard, effective January 1, 2027, provides accounting requirements and guidance for entities with significant land sector activities and those reporting CO2 removals. For ndrwhutnre, if its raw materials involve significant agricultural or forestry products, or if gskzgdownf engages in carbon removal initiatives (e.g., direct air capture or land-based removals), these would be quantified and reported according to the LSR Standard. This standard also introduces new categories for land use change, land management, and biogenic product emissions.</w:t>
      </w:r>
    </w:p>
    <w:p>
      <w:pPr>
        <w:pStyle w:val="BodyText"/>
      </w:pPr>
      <w:r>
        <w:t xml:space="preserve">Currently, specific data on land sector activities or carbon removals directly attributable to ndrwhutnre\'s bill of materials or gskzgdownf\'s operations were not provided. Therefore, this report acknowledges the requirement and states that relevant data would be integrated when available, particularly for upstream raw material sourcing if it involves agriculture or land-intensive processes. The LSR Standard mandates physical traceability for removals and does not permit book-and-claim approaches for certain aspects.</w:t>
      </w:r>
    </w:p>
    <w:bookmarkEnd w:id="47"/>
    <w:bookmarkStart w:id="48" w:name="Xa2c391ac3cad18882ab4ed7d732497a345bae4b"/>
    <w:p>
      <w:pPr>
        <w:pStyle w:val="Heading3"/>
      </w:pPr>
      <w:r>
        <w:t xml:space="preserve">4.5. Summary of Illustrative Emissions by Scope (per 1.0 unit of ndrwhutnre)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Illustrative Emissions (kg CO2e)</w:t>
            </w:r>
          </w:p>
        </w:tc>
        <w:tc>
          <w:tcPr/>
          <w:p>
            <w:pPr>
              <w:pStyle w:val="Compact"/>
              <w:jc w:val="left"/>
            </w:pPr>
            <w:r>
              <w:t xml:space="preserve">Coverage Notes</w:t>
            </w:r>
          </w:p>
        </w:tc>
      </w:tr>
      <w:tr>
        <w:tc>
          <w:tcPr/>
          <w:p>
            <w:pPr>
              <w:pStyle w:val="Compact"/>
              <w:jc w:val="left"/>
            </w:pPr>
            <w:r>
              <w:t xml:space="preserve">Scope 1</w:t>
            </w:r>
          </w:p>
        </w:tc>
        <w:tc>
          <w:tcPr/>
          <w:p>
            <w:pPr>
              <w:pStyle w:val="Compact"/>
              <w:jc w:val="left"/>
            </w:pPr>
            <w:r>
              <w:t xml:space="preserve">Direct Operations</w:t>
            </w:r>
          </w:p>
        </w:tc>
        <w:tc>
          <w:tcPr/>
          <w:p>
            <w:pPr>
              <w:pStyle w:val="Compact"/>
              <w:jc w:val="left"/>
            </w:pPr>
            <w:r>
              <w:t xml:space="preserve">[Data Dependent]</w:t>
            </w:r>
          </w:p>
        </w:tc>
        <w:tc>
          <w:tcPr/>
          <w:p>
            <w:pPr>
              <w:pStyle w:val="Compact"/>
              <w:jc w:val="left"/>
            </w:pPr>
            <w:r>
              <w:t xml:space="preserve">Assumed to be minimal or zero for this illustrative report without specific fuel/process data.</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4.8145</w:t>
            </w:r>
          </w:p>
        </w:tc>
        <w:tc>
          <w:tcPr/>
          <w:p>
            <w:pPr>
              <w:pStyle w:val="Compact"/>
              <w:jc w:val="left"/>
            </w:pPr>
            <w:r>
              <w:t xml:space="preserve">Based on mlpghovtlv=10kWh/unit, dglezdnlop=30%, China grid EF=0.6835 kgCO2e/kWh.</w:t>
            </w:r>
          </w:p>
        </w:tc>
      </w:tr>
      <w:tr>
        <w:tc>
          <w:tcPr>
            <w:vMerge w:val="restart"/>
          </w:tcPr>
          <w:p>
            <w:pPr>
              <w:pStyle w:val="Compact"/>
              <w:jc w:val="left"/>
            </w:pPr>
            <w:r>
              <w:t xml:space="preserve">Scope 3</w:t>
            </w:r>
          </w:p>
        </w:tc>
        <w:tc>
          <w:tcPr/>
          <w:p>
            <w:pPr>
              <w:pStyle w:val="Compact"/>
              <w:jc w:val="left"/>
            </w:pPr>
            <w:r>
              <w:t xml:space="preserve">Purchased Goods &amp; Services (Materials)</w:t>
            </w:r>
          </w:p>
        </w:tc>
        <w:tc>
          <w:tcPr/>
          <w:p>
            <w:pPr>
              <w:pStyle w:val="Compact"/>
              <w:jc w:val="left"/>
            </w:pPr>
            <w:r>
              <w:t xml:space="preserve">15.0</w:t>
            </w:r>
          </w:p>
        </w:tc>
        <w:tc>
          <w:tcPr/>
          <w:p>
            <w:pPr>
              <w:pStyle w:val="Compact"/>
              <w:jc w:val="left"/>
            </w:pPr>
            <w:r>
              <w:t xml:space="preserve">Sum of \'Total Carbon\' from illustrative BOM (gynkxlwz).</w:t>
            </w:r>
          </w:p>
        </w:tc>
      </w:tr>
      <w:tr>
        <w:tc>
          <w:tcPr>
            <w:gridSpan w:val="1"/>
            <w:vMerge w:val="continue"/>
          </w:tcPr>
          <w:p>
            <w:pPr/>
          </w:p>
        </w:tc>
        <w:tc>
          <w:tcPr/>
          <w:p>
            <w:pPr>
              <w:pStyle w:val="Compact"/>
              <w:jc w:val="left"/>
            </w:pPr>
            <w:r>
              <w:t xml:space="preserve">Upstream &amp; Downstream Transportation</w:t>
            </w:r>
          </w:p>
        </w:tc>
        <w:tc>
          <w:tcPr/>
          <w:p>
            <w:pPr>
              <w:pStyle w:val="Compact"/>
              <w:jc w:val="left"/>
            </w:pPr>
            <w:r>
              <w:t xml:space="preserve">0.11</w:t>
            </w:r>
          </w:p>
        </w:tc>
        <w:tc>
          <w:tcPr/>
          <w:p>
            <w:pPr>
              <w:pStyle w:val="Compact"/>
              <w:jc w:val="left"/>
            </w:pPr>
            <w:r>
              <w:t xml:space="preserve">Based on 1kg product, kpmmupxzzf=1000km, 50km last-mile, generic EFs.</w:t>
            </w:r>
          </w:p>
        </w:tc>
      </w:tr>
      <w:tr>
        <w:tc>
          <w:tcPr>
            <w:gridSpan w:val="1"/>
            <w:vMerge w:val="continue"/>
          </w:tcPr>
          <w:p>
            <w:pPr/>
          </w:p>
        </w:tc>
        <w:tc>
          <w:tcPr/>
          <w:p>
            <w:pPr>
              <w:pStyle w:val="Compact"/>
              <w:jc w:val="left"/>
            </w:pPr>
            <w:r>
              <w:t xml:space="preserve">Use of Sold Products</w:t>
            </w:r>
          </w:p>
        </w:tc>
        <w:tc>
          <w:tcPr/>
          <w:p>
            <w:pPr>
              <w:pStyle w:val="Compact"/>
              <w:jc w:val="left"/>
            </w:pPr>
            <w:r>
              <w:t xml:space="preserve">6.25</w:t>
            </w:r>
          </w:p>
        </w:tc>
        <w:tc>
          <w:tcPr/>
          <w:p>
            <w:pPr>
              <w:pStyle w:val="Compact"/>
              <w:jc w:val="left"/>
            </w:pPr>
            <w:r>
              <w:t xml:space="preserve">Based on osowhlkllr=5kWh/year, uzvknwiqmg=5 years, generic EU grid EF=0.25 kgCO2e/kWh.</w:t>
            </w:r>
          </w:p>
        </w:tc>
      </w:tr>
      <w:tr>
        <w:tc>
          <w:tcPr>
            <w:gridSpan w:val="1"/>
            <w:vMerge w:val="continue"/>
          </w:tcPr>
          <w:p>
            <w:pPr/>
          </w:p>
        </w:tc>
        <w:tc>
          <w:tcPr/>
          <w:p>
            <w:pPr>
              <w:pStyle w:val="Compact"/>
              <w:jc w:val="left"/>
            </w:pPr>
            <w:r>
              <w:t xml:space="preserve">End-of-Life Treatment of Sold Products</w:t>
            </w:r>
          </w:p>
        </w:tc>
        <w:tc>
          <w:tcPr/>
          <w:p>
            <w:pPr>
              <w:pStyle w:val="Compact"/>
              <w:jc w:val="left"/>
            </w:pPr>
            <w:r>
              <w:t xml:space="preserve">-0.15</w:t>
            </w:r>
          </w:p>
        </w:tc>
        <w:tc>
          <w:tcPr/>
          <w:p>
            <w:pPr>
              <w:pStyle w:val="Compact"/>
              <w:jc w:val="left"/>
            </w:pPr>
            <w:r>
              <w:t xml:space="preserve">Based on 1kg product, ezrkeexkke=70%, generic disposal/recycling EFs and jjtnljmmpt credit.</w:t>
            </w:r>
          </w:p>
        </w:tc>
      </w:tr>
      <w:tr>
        <w:tc>
          <w:tcPr>
            <w:gridSpan w:val="2"/>
          </w:tcPr>
          <w:p>
            <w:pPr>
              <w:pStyle w:val="Compact"/>
              <w:jc w:val="left"/>
            </w:pPr>
            <w:r>
              <w:rPr>
                <w:bCs/>
                <w:b/>
              </w:rPr>
              <w:t xml:space="preserve">Total Illustrative Product Carbon Footprint</w:t>
            </w:r>
          </w:p>
        </w:tc>
        <w:tc>
          <w:tcPr/>
          <w:p>
            <w:pPr>
              <w:pStyle w:val="Compact"/>
              <w:jc w:val="left"/>
            </w:pPr>
            <w:r>
              <w:rPr>
                <w:bCs/>
                <w:b/>
              </w:rPr>
              <w:t xml:space="preserve">~26.0245</w:t>
            </w:r>
          </w:p>
        </w:tc>
        <w:tc>
          <w:tcPr/>
          <w:p>
            <w:pPr>
              <w:pStyle w:val="Compact"/>
              <w:jc w:val="left"/>
            </w:pPr>
            <w:r>
              <w:t xml:space="preserve">Sum of above illustrative figures.</w:t>
            </w:r>
          </w:p>
        </w:tc>
      </w:tr>
    </w:tbl>
    <w:p>
      <w:pPr>
        <w:pStyle w:val="BodyText"/>
      </w:pPr>
      <w:r>
        <w:rPr>
          <w:iCs/>
          <w:i/>
        </w:rPr>
        <w:t xml:space="preserve">Note: All numerical values in this section are illustrative, reflecting the methodology with placeholder data. Actual PCF would require precise numerical inputs for all parameters.</w:t>
      </w:r>
    </w:p>
    <w:p>
      <w:r>
        <w:pict>
          <v:rect style="width:0;height:1.5pt" o:hralign="center" o:hrstd="t" o:hr="t"/>
        </w:pict>
      </w:r>
    </w:p>
    <w:bookmarkEnd w:id="48"/>
    <w:bookmarkEnd w:id="49"/>
    <w:bookmarkStart w:id="53" w:name="review-report"/>
    <w:p>
      <w:pPr>
        <w:pStyle w:val="Heading2"/>
      </w:pPr>
      <w:r>
        <w:t xml:space="preserve">5. Review &amp; Report</w:t>
      </w:r>
    </w:p>
    <w:p>
      <w:pPr>
        <w:pStyle w:val="FirstParagraph"/>
      </w:pPr>
      <w:r>
        <w:t xml:space="preserve">This section summarizes the findings, identifies potential hotspots, and addresses the reliability of the analysis.</w:t>
      </w:r>
    </w:p>
    <w:bookmarkStart w:id="50" w:name="emission-hotspots"/>
    <w:p>
      <w:pPr>
        <w:pStyle w:val="Heading3"/>
      </w:pPr>
      <w:r>
        <w:t xml:space="preserve">5.1. Emission Hotspots</w:t>
      </w:r>
    </w:p>
    <w:p>
      <w:pPr>
        <w:pStyle w:val="FirstParagraph"/>
      </w:pPr>
      <w:r>
        <w:t xml:space="preserve">Based on the illustrative calculations, the primary emission hotspots for ndrwhutnre are:</w:t>
      </w:r>
    </w:p>
    <w:p>
      <w:pPr>
        <w:numPr>
          <w:ilvl w:val="0"/>
          <w:numId w:val="1015"/>
        </w:numPr>
        <w:pStyle w:val="Compact"/>
      </w:pPr>
      <w:r>
        <w:rPr>
          <w:bCs/>
          <w:b/>
        </w:rPr>
        <w:t xml:space="preserve">Materials (Scope 3 - Purchased Goods and Services):</w:t>
      </w:r>
      <w:r>
        <w:t xml:space="preserve"> </w:t>
      </w:r>
      <w:r>
        <w:t xml:space="preserve">This category accounts for a significant portion of the footprint, highlighting the importance of sustainable sourcing and material efficiency.</w:t>
      </w:r>
    </w:p>
    <w:p>
      <w:pPr>
        <w:numPr>
          <w:ilvl w:val="0"/>
          <w:numId w:val="1015"/>
        </w:numPr>
        <w:pStyle w:val="Compact"/>
      </w:pPr>
      <w:r>
        <w:rPr>
          <w:bCs/>
          <w:b/>
        </w:rPr>
        <w:t xml:space="preserve">Manufacturing (Scope 2 - Purchased Electricity):</w:t>
      </w:r>
      <w:r>
        <w:t xml:space="preserve"> </w:t>
      </w:r>
      <w:r>
        <w:t xml:space="preserve">The energy mix in China, even with partial renewable usage, contributes substantially. Further decarbonization of the energy supply is crucial.</w:t>
      </w:r>
    </w:p>
    <w:p>
      <w:pPr>
        <w:numPr>
          <w:ilvl w:val="0"/>
          <w:numId w:val="1015"/>
        </w:numPr>
        <w:pStyle w:val="Compact"/>
      </w:pPr>
      <w:r>
        <w:rPr>
          <w:bCs/>
          <w:b/>
        </w:rPr>
        <w:t xml:space="preserve">Use Phase (Scope 3 - Use of Sold Products):</w:t>
      </w:r>
      <w:r>
        <w:t xml:space="preserve"> </w:t>
      </w:r>
      <w:r>
        <w:t xml:space="preserve">Energy consumption during the product\'s lifespan, especially if used in regions with high-carbon electricity grids, can be a major contributor.</w:t>
      </w:r>
    </w:p>
    <w:bookmarkEnd w:id="50"/>
    <w:bookmarkStart w:id="51" w:name="reliability-and-limitations"/>
    <w:p>
      <w:pPr>
        <w:pStyle w:val="Heading3"/>
      </w:pPr>
      <w:r>
        <w:t xml:space="preserve">5.2. Reliability and Limitations</w:t>
      </w:r>
    </w:p>
    <w:p>
      <w:pPr>
        <w:pStyle w:val="FirstParagraph"/>
      </w:pPr>
      <w:r>
        <w:t xml:space="preserve">The reliability of this PCF analysis is directly dependent on the accuracy and completeness of the input data. Key factors influencing reliability include:</w:t>
      </w:r>
    </w:p>
    <w:p>
      <w:pPr>
        <w:numPr>
          <w:ilvl w:val="0"/>
          <w:numId w:val="1016"/>
        </w:numPr>
        <w:pStyle w:val="Compact"/>
      </w:pPr>
      <w:r>
        <w:rPr>
          <w:bCs/>
          <w:b/>
        </w:rPr>
        <w:t xml:space="preserve">Placeholder Data:</w:t>
      </w:r>
      <w:r>
        <w:t xml:space="preserve"> </w:t>
      </w:r>
      <w:r>
        <w:t xml:space="preserve">Many parameters (e.g., `gynkxlwz` content, `Select Mode`, `kpmmupxzzf`, `mlpghovtlv`, `dglezdnlop`, `uzvknwiqmg`, `osowhlkllr`, `ezrkeexkke`, `jjtnljmmpt`) were provided as generic strings. Actual calculations would require precise numerical data for these parameters.</w:t>
      </w:r>
    </w:p>
    <w:p>
      <w:pPr>
        <w:numPr>
          <w:ilvl w:val="0"/>
          <w:numId w:val="1016"/>
        </w:numPr>
        <w:pStyle w:val="Compact"/>
      </w:pPr>
      <w:r>
        <w:rPr>
          <w:bCs/>
          <w:b/>
        </w:rPr>
        <w:t xml:space="preserve">Emission Factor Assumptions:</w:t>
      </w:r>
      <w:r>
        <w:t xml:space="preserve"> </w:t>
      </w:r>
      <w:r>
        <w:t xml:space="preserve">Where specific primary data was unavailable, industry-average emission factors (e.g., for transport, electricity grids) were used for illustrative purposes. These may not perfectly reflect the specific operational realities of gskzgdownf or its supply chain partners.</w:t>
      </w:r>
    </w:p>
    <w:p>
      <w:pPr>
        <w:numPr>
          <w:ilvl w:val="0"/>
          <w:numId w:val="1016"/>
        </w:numPr>
        <w:pStyle w:val="Compact"/>
      </w:pPr>
      <w:r>
        <w:rPr>
          <w:bCs/>
          <w:b/>
        </w:rPr>
        <w:t xml:space="preserve">2026 LSR Update:</w:t>
      </w:r>
      <w:r>
        <w:t xml:space="preserve"> </w:t>
      </w:r>
      <w:r>
        <w:t xml:space="preserve">The integration of the LSR Standard for land use and carbon removals is acknowledged, but specific data was not provided for full implementation.</w:t>
      </w:r>
    </w:p>
    <w:p>
      <w:pPr>
        <w:numPr>
          <w:ilvl w:val="0"/>
          <w:numId w:val="1016"/>
        </w:numPr>
        <w:pStyle w:val="Compact"/>
      </w:pPr>
      <w:r>
        <w:rPr>
          <w:bCs/>
          <w:b/>
        </w:rPr>
        <w:t xml:space="preserve">Scope 3 Coverage:</w:t>
      </w:r>
      <w:r>
        <w:t xml:space="preserve"> </w:t>
      </w:r>
      <w:r>
        <w:t xml:space="preserve">While efforts were made to cover all relevant Scope 3 categories, achieving 95% coverage requires granular data collection across the entire value chain, which is often challenging without direct supplier and customer engagement.</w:t>
      </w:r>
    </w:p>
    <w:p>
      <w:pPr>
        <w:pStyle w:val="FirstParagraph"/>
      </w:pPr>
      <w:r>
        <w:t xml:space="preserve">To enhance reliability, it is recommended to replace all placeholder data with actual, verifiable operational data from gskzgdownf and its supply chain, and to utilize country- and mode-specific emission factors from robust databases.</w:t>
      </w:r>
    </w:p>
    <w:bookmarkEnd w:id="51"/>
    <w:bookmarkStart w:id="52" w:name="recommendations-for-reduction"/>
    <w:p>
      <w:pPr>
        <w:pStyle w:val="Heading3"/>
      </w:pPr>
      <w:r>
        <w:t xml:space="preserve">5.3. Recommendations for Reduction</w:t>
      </w:r>
    </w:p>
    <w:p>
      <w:pPr>
        <w:numPr>
          <w:ilvl w:val="0"/>
          <w:numId w:val="1017"/>
        </w:numPr>
        <w:pStyle w:val="Compact"/>
      </w:pPr>
      <w:r>
        <w:rPr>
          <w:bCs/>
          <w:b/>
        </w:rPr>
        <w:t xml:space="preserve">Material Optimization:</w:t>
      </w:r>
      <w:r>
        <w:t xml:space="preserve"> </w:t>
      </w:r>
      <w:r>
        <w:t xml:space="preserve">Explore alternative, lower-impact materials, increase recycled content, and optimize material usage to reduce the impact of purchased goods and services.</w:t>
      </w:r>
    </w:p>
    <w:p>
      <w:pPr>
        <w:numPr>
          <w:ilvl w:val="0"/>
          <w:numId w:val="1017"/>
        </w:numPr>
        <w:pStyle w:val="Compact"/>
      </w:pPr>
      <w:r>
        <w:rPr>
          <w:bCs/>
          <w:b/>
        </w:rPr>
        <w:t xml:space="preserve">Renewable Energy Expansion:</w:t>
      </w:r>
      <w:r>
        <w:t xml:space="preserve"> </w:t>
      </w:r>
      <w:r>
        <w:t xml:space="preserve">Further increase the share of renewable energy in manufacturing operations in China, potentially through direct procurement or Renewable Energy Certificates (RECs).</w:t>
      </w:r>
    </w:p>
    <w:p>
      <w:pPr>
        <w:numPr>
          <w:ilvl w:val="0"/>
          <w:numId w:val="1017"/>
        </w:numPr>
        <w:pStyle w:val="Compact"/>
      </w:pPr>
      <w:r>
        <w:rPr>
          <w:bCs/>
          <w:b/>
        </w:rPr>
        <w:t xml:space="preserve">Logistics Efficiency:</w:t>
      </w:r>
      <w:r>
        <w:t xml:space="preserve"> </w:t>
      </w:r>
      <w:r>
        <w:t xml:space="preserve">Optimize transport routes, shift to lower-emission transport modes (e.g., rail over road for long distances), and improve vehicle load factors.</w:t>
      </w:r>
    </w:p>
    <w:p>
      <w:pPr>
        <w:numPr>
          <w:ilvl w:val="0"/>
          <w:numId w:val="1017"/>
        </w:numPr>
        <w:pStyle w:val="Compact"/>
      </w:pPr>
      <w:r>
        <w:rPr>
          <w:bCs/>
          <w:b/>
        </w:rPr>
        <w:t xml:space="preserve">Product Design for Circularity:</w:t>
      </w:r>
      <w:r>
        <w:t xml:space="preserve"> </w:t>
      </w:r>
      <w:r>
        <w:t xml:space="preserve">Enhance product durability (e.g., beyond `uzvknwiqmg` years), increase recyclability (beyond `ezrkeexkke`%), and expand take-back and repair schemes (e.g., `jjtnljmmpt`) to minimize end-of-life impacts and maximize resource efficiency.</w:t>
      </w:r>
    </w:p>
    <w:p>
      <w:pPr>
        <w:numPr>
          <w:ilvl w:val="0"/>
          <w:numId w:val="1017"/>
        </w:numPr>
        <w:pStyle w:val="Compact"/>
      </w:pPr>
      <w:r>
        <w:rPr>
          <w:bCs/>
          <w:b/>
        </w:rPr>
        <w:t xml:space="preserve">Supply Chain Engagement:</w:t>
      </w:r>
      <w:r>
        <w:t xml:space="preserve"> </w:t>
      </w:r>
      <w:r>
        <w:t xml:space="preserve">Collaborate with suppliers to collect primary data and encourage their decarbonization efforts.</w:t>
      </w:r>
    </w:p>
    <w:p>
      <w:r>
        <w:pict>
          <v:rect style="width:0;height:1.5pt" o:hralign="center" o:hrstd="t" o:hr="t"/>
        </w:pict>
      </w:r>
    </w:p>
    <w:p>
      <w:pPr>
        <w:pStyle w:val="FirstParagraph"/>
      </w:pPr>
      <w:r>
        <w:t xml:space="preserve">Confidential - Internal Use Only</w:t>
      </w:r>
    </w:p>
    <w:bookmarkEnd w:id="52"/>
    <w:bookmarkEnd w:id="53"/>
    <w:bookmarkEnd w:id="5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ndrwhutnre</dc:title>
  <dc:creator/>
  <dc:description>High-detail Product Carbon Footprint (PCF) analysis for ndrwhutnre, adhering to GHG Protocol and 2026 LSR Update, performed by hxwffznkwo for gskzgdownf.</dc:description>
  <dc:language>en</dc:language>
  <cp:keywords/>
  <dcterms:created xsi:type="dcterms:W3CDTF">2026-05-30T22:12:45Z</dcterms:created>
  <dcterms:modified xsi:type="dcterms:W3CDTF">2026-05-30T22:12:45Z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