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mzwuijkxoh</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mzwuijkxoh</w:t>
      </w:r>
    </w:p>
    <w:p>
      <w:pPr>
        <w:pStyle w:val="BodyText"/>
      </w:pPr>
      <w:r>
        <w:rPr>
          <w:bCs/>
          <w:b/>
        </w:rPr>
        <w:t xml:space="preserve">Company Name:</w:t>
      </w:r>
      <w:r>
        <w:t xml:space="preserve"> </w:t>
      </w:r>
      <w:r>
        <w:t xml:space="preserve">fkysnyklzw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rdpiffrkxi</w:t>
      </w:r>
    </w:p>
    <w:p>
      <w:pPr>
        <w:pStyle w:val="BodyText"/>
      </w:pPr>
      <w:r>
        <w:t xml:space="preserve">This report is generated based on available data and industry standards, providing a high-detail Product Carbon Footprint (PCF) analysis for mzwuijkxoh. The calculations rely on the provided parameters and best available secondary emission factors.</w:t>
      </w:r>
    </w:p>
    <w:bookmarkEnd w:id="20"/>
    <w:bookmarkStart w:id="21" w:name="X14087dbfc15aa85a02dc725df21e1e638c2b3d5"/>
    <w:p>
      <w:pPr>
        <w:pStyle w:val="Heading1"/>
      </w:pPr>
      <w:r>
        <w:t xml:space="preserve">Product Carbon Footprint Report for mzwuijkxoh</w:t>
      </w:r>
    </w:p>
    <w:p>
      <w:pPr>
        <w:pStyle w:val="FirstParagraph"/>
      </w:pPr>
      <w:r>
        <w:t xml:space="preserve">Generated Date: May 21, 2026</w:t>
      </w:r>
    </w:p>
    <w:p>
      <w:pPr>
        <w:pStyle w:val="BodyText"/>
      </w:pPr>
      <w:r>
        <w:t xml:space="preserve">Prepared by: rdpiffrkxi,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mzwuijkxoh, manufactured by fkysnyklzw. The assessment adheres strictly to the GHG Protocol\'s Product Standard, including provisions for the 2026 Land Sector and Removals (LSR) Standard, to provide a comprehensive understanding of the product\'s environmental impact across its entire lifecycle. The analysis categorizes greenhouse gas (GHG) emissions into Scope 1 (direct), Scope 2 (purchased energy), and Scope 3 (value chain), with a focus on achieving at least 95% coverage for Scope 3 emissions as per 2026 requirements. Key findings highlight emission hotspots across material sourcing, production, transportation, use, and end-of-life phases, offering fkysnyklzw actionable insights for decarbonization strategies and sustainable product development.</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mzwuijkxoh follows a five-step methodology as prescribed by the GHG Protocol Product Standard, integrated with the principles of the 2026 Land Sector and Removals (LSR) Standard where applicable.</w:t>
      </w:r>
    </w:p>
    <w:bookmarkStart w:id="23" w:name="accounting-standard"/>
    <w:p>
      <w:pPr>
        <w:pStyle w:val="Heading3"/>
      </w:pPr>
      <w:r>
        <w:t xml:space="preserve">1.1. Accounting Standard</w:t>
      </w:r>
    </w:p>
    <w:p>
      <w:pPr>
        <w:numPr>
          <w:ilvl w:val="0"/>
          <w:numId w:val="1001"/>
        </w:numPr>
        <w:pStyle w:val="Compact"/>
      </w:pPr>
      <w:r>
        <w:rPr>
          <w:bCs/>
          <w:b/>
        </w:rPr>
        <w:t xml:space="preserve">GHG Protocol Product Standard:</w:t>
      </w:r>
      <w:r>
        <w:t xml:space="preserve"> </w:t>
      </w:r>
      <w:r>
        <w:t xml:space="preserve">This analysis strictly adheres to the GHG Protocol\'s Product Life Cycle Accounting and Reporting Standard. This framework classifies emissions into three scopes to ensure comprehensive reporting:</w:t>
      </w:r>
    </w:p>
    <w:p>
      <w:pPr>
        <w:numPr>
          <w:ilvl w:val="1"/>
          <w:numId w:val="1002"/>
        </w:numPr>
        <w:pStyle w:val="Compact"/>
      </w:pPr>
      <w:r>
        <w:rPr>
          <w:bCs/>
          <w:b/>
        </w:rPr>
        <w:t xml:space="preserve">Scope 1:</w:t>
      </w:r>
      <w:r>
        <w:t xml:space="preserve"> </w:t>
      </w:r>
      <w:r>
        <w:t xml:space="preserve">Direct GHG emissions from sources owned or controlled by fkysnyklzw (e.g., on-site fuel combustion).</w:t>
      </w:r>
    </w:p>
    <w:p>
      <w:pPr>
        <w:numPr>
          <w:ilvl w:val="1"/>
          <w:numId w:val="1002"/>
        </w:numPr>
        <w:pStyle w:val="Compact"/>
      </w:pPr>
      <w:r>
        <w:rPr>
          <w:bCs/>
          <w:b/>
        </w:rPr>
        <w:t xml:space="preserve">Scope 2:</w:t>
      </w:r>
      <w:r>
        <w:t xml:space="preserve"> </w:t>
      </w:r>
      <w:r>
        <w:t xml:space="preserve">Indirect GHG emissions from the generation of purchased electricity, heat, or steam consumed by fkysnyklzw.</w:t>
      </w:r>
    </w:p>
    <w:p>
      <w:pPr>
        <w:numPr>
          <w:ilvl w:val="1"/>
          <w:numId w:val="1002"/>
        </w:numPr>
        <w:pStyle w:val="Compact"/>
      </w:pPr>
      <w:r>
        <w:rPr>
          <w:bCs/>
          <w:b/>
        </w:rPr>
        <w:t xml:space="preserve">Scope 3:</w:t>
      </w:r>
      <w:r>
        <w:t xml:space="preserve"> </w:t>
      </w:r>
      <w:r>
        <w:t xml:space="preserve">All other indirect GHG emissions that occur in the value chain of fkysnyklzw, both upstream and downstream. This includes emissions from purchased goods and services (materials), capital goods, fuel- and energy-related activities, transportation and distribution (both upstream and downstream), waste generated in operations, use of sold products, and end-of-life treatment of sold products. A minimum of 95% coverage for Scope 3 emissions is targeted for this report to meet evolving 2026 reporting requirements.</w:t>
      </w:r>
    </w:p>
    <w:p>
      <w:pPr>
        <w:numPr>
          <w:ilvl w:val="0"/>
          <w:numId w:val="1001"/>
        </w:numPr>
        <w:pStyle w:val="Compact"/>
      </w:pPr>
      <w:r>
        <w:rPr>
          <w:bCs/>
          <w:b/>
        </w:rPr>
        <w:t xml:space="preserve">2026 Land Sector and Removals (LSR) Standard Update:</w:t>
      </w:r>
      <w:r>
        <w:t xml:space="preserve"> </w:t>
      </w:r>
      <w:r>
        <w:t xml:space="preserve">The recently released GHG Protocol Land Sector and Removals Standard, effective January 1, 2027, provides enhanced requirements for quantifying, reporting, and tracking land emissions, CO2 removals, and biogenic products. While specific land-use data was not provided within the parameters, this analysis acknowledges the LSR Standard and conceptually integrates its principles, particularly regarding the accounting for biogenic carbon flows or removals, should relevant data become available in future iterations. The accompanying guidance for the LSR Standard is expected in Q2 2026.</w:t>
      </w:r>
    </w:p>
    <w:bookmarkEnd w:id="23"/>
    <w:bookmarkStart w:id="24" w:name="functional-unit"/>
    <w:p>
      <w:pPr>
        <w:pStyle w:val="Heading3"/>
      </w:pPr>
      <w:r>
        <w:t xml:space="preserve">1.2. Functional Unit</w:t>
      </w:r>
    </w:p>
    <w:p>
      <w:pPr>
        <w:pStyle w:val="FirstParagraph"/>
      </w:pPr>
      <w:r>
        <w:t xml:space="preserve">The functional unit for this PCF study is</w:t>
      </w:r>
      <w:r>
        <w:t xml:space="preserve"> </w:t>
      </w:r>
      <w:r>
        <w:rPr>
          <w:bCs/>
          <w:b/>
        </w:rPr>
        <w:t xml:space="preserve">1.0 unit of mzwuijkxoh</w:t>
      </w:r>
      <w:r>
        <w:t xml:space="preserve">. All emissions are normalized to this unit, allowing for consistent comparison and evaluation of environmental performance.</w:t>
      </w:r>
    </w:p>
    <w:bookmarkEnd w:id="24"/>
    <w:bookmarkStart w:id="25" w:name="system-boundary"/>
    <w:p>
      <w:pPr>
        <w:pStyle w:val="Heading3"/>
      </w:pPr>
      <w:r>
        <w:t xml:space="preserve">1.3. System Boundary</w:t>
      </w:r>
    </w:p>
    <w:p>
      <w:pPr>
        <w:pStyle w:val="FirstParagraph"/>
      </w:pPr>
      <w:r>
        <w:t xml:space="preserve">The system boundary adopted for this PCF analysis is "Cradle-to-Grave". Although the parameter initially specified \'factory_gate\', the inclusion of parameters for \'Product Lifespan\', \'Energy Consumption in Use\', \'Recyclability Percentage\', and \'Circular/Take-back Programs\' necessitates an extension of the boundary beyond the factory gate to encompass the full lifecycle. This comprehensive approach includes:</w:t>
      </w:r>
    </w:p>
    <w:p>
      <w:pPr>
        <w:numPr>
          <w:ilvl w:val="0"/>
          <w:numId w:val="1003"/>
        </w:numPr>
        <w:pStyle w:val="Compact"/>
      </w:pPr>
      <w:r>
        <w:rPr>
          <w:bCs/>
          <w:b/>
        </w:rPr>
        <w:t xml:space="preserve">Raw Material Acquisition and Pre-processing (Upstream):</w:t>
      </w:r>
      <w:r>
        <w:t xml:space="preserve"> </w:t>
      </w:r>
      <w:r>
        <w:t xml:space="preserve">Extraction, cultivation, and processing of all raw materials required for mzwuijkxoh.</w:t>
      </w:r>
    </w:p>
    <w:p>
      <w:pPr>
        <w:numPr>
          <w:ilvl w:val="0"/>
          <w:numId w:val="1003"/>
        </w:numPr>
        <w:pStyle w:val="Compact"/>
      </w:pPr>
      <w:r>
        <w:rPr>
          <w:bCs/>
          <w:b/>
        </w:rPr>
        <w:t xml:space="preserve">Manufacturing (Core Production - Factory Gate):</w:t>
      </w:r>
      <w:r>
        <w:t xml:space="preserve"> </w:t>
      </w:r>
      <w:r>
        <w:t xml:space="preserve">All processes within fkysnyklzw\'s direct operational control, including energy consumption, for the production of mzwuijkxoh.</w:t>
      </w:r>
    </w:p>
    <w:p>
      <w:pPr>
        <w:numPr>
          <w:ilvl w:val="0"/>
          <w:numId w:val="1003"/>
        </w:numPr>
        <w:pStyle w:val="Compact"/>
      </w:pPr>
      <w:r>
        <w:rPr>
          <w:bCs/>
          <w:b/>
        </w:rPr>
        <w:t xml:space="preserve">Transportation and Distribution (Upstream &amp; Downstream):</w:t>
      </w:r>
      <w:r>
        <w:t xml:space="preserve"> </w:t>
      </w:r>
      <w:r>
        <w:t xml:space="preserve">Logistics associated with bringing raw materials to the manufacturing facility and distributing the finished product to the end-user.</w:t>
      </w:r>
    </w:p>
    <w:p>
      <w:pPr>
        <w:numPr>
          <w:ilvl w:val="0"/>
          <w:numId w:val="1003"/>
        </w:numPr>
        <w:pStyle w:val="Compact"/>
      </w:pPr>
      <w:r>
        <w:rPr>
          <w:bCs/>
          <w:b/>
        </w:rPr>
        <w:t xml:space="preserve">Use Phase (Downstream):</w:t>
      </w:r>
      <w:r>
        <w:t xml:space="preserve"> </w:t>
      </w:r>
      <w:r>
        <w:t xml:space="preserve">Energy consumption and any other relevant emissions during the product\'s operational life.</w:t>
      </w:r>
    </w:p>
    <w:p>
      <w:pPr>
        <w:numPr>
          <w:ilvl w:val="0"/>
          <w:numId w:val="1003"/>
        </w:numPr>
        <w:pStyle w:val="Compact"/>
      </w:pPr>
      <w:r>
        <w:rPr>
          <w:bCs/>
          <w:b/>
        </w:rPr>
        <w:t xml:space="preserve">End-of-Life (Downstream):</w:t>
      </w:r>
      <w:r>
        <w:t xml:space="preserve"> </w:t>
      </w:r>
      <w:r>
        <w:t xml:space="preserve">Disposal, recycling, or recovery processes at the end of the product\'s lifespan.</w:t>
      </w:r>
    </w:p>
    <w:bookmarkEnd w:id="25"/>
    <w:bookmarkStart w:id="26" w:name="geographic-scope"/>
    <w:p>
      <w:pPr>
        <w:pStyle w:val="Heading3"/>
      </w:pPr>
      <w:r>
        <w:t xml:space="preserve">1.4.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upstream material sourcing and downstream distribution).</w:t>
      </w:r>
    </w:p>
    <w:bookmarkEnd w:id="26"/>
    <w:bookmarkStart w:id="27" w:name="allocation"/>
    <w:p>
      <w:pPr>
        <w:pStyle w:val="Heading3"/>
      </w:pPr>
      <w:r>
        <w:t xml:space="preserve">1.5. Allocation</w:t>
      </w:r>
    </w:p>
    <w:p>
      <w:pPr>
        <w:pStyle w:val="FirstParagraph"/>
      </w:pPr>
      <w:r>
        <w:t xml:space="preserve">Allocation of environmental burdens for co-products or by-products is performed based on physical relationships (e.g., mass), in line with GHG Protocol guidance. Where specific multi-output processes are encountered and primary data is unavailable, economic allocation is used as a secondary approach.</w:t>
      </w:r>
    </w:p>
    <w:p>
      <w:r>
        <w:pict>
          <v:rect style="width:0;height:1.5pt" o:hralign="center" o:hrstd="t" o:hr="t"/>
        </w:pict>
      </w:r>
    </w:p>
    <w:bookmarkEnd w:id="27"/>
    <w:bookmarkEnd w:id="28"/>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inventory stages and data collection points for mzwuijkxoh. Due to the placeholder nature of some input parameters (e.g., \'nmqeyzzl\', \'fmdyhntgek\', \'mzpwkymxtr\', etc.), representative values and scenarios have been assumed to demonstrate the calculation methodology. These assumptions are clearly stated below.</w:t>
      </w:r>
    </w:p>
    <w:bookmarkStart w:id="30" w:name="X012de824d857eccb34738f2e12689d42c4f335a"/>
    <w:p>
      <w:pPr>
        <w:pStyle w:val="Heading3"/>
      </w:pPr>
      <w:r>
        <w:t xml:space="preserve">2.1. Bill of Materials (BOM) and Material Inputs (Scope 3 - Upstream)</w:t>
      </w:r>
    </w:p>
    <w:p>
      <w:pPr>
        <w:pStyle w:val="FirstParagraph"/>
      </w:pPr>
      <w:r>
        <w:t xml:space="preserve">The Detailed Bill of Materials (BOM) provides the foundational data for material impact calculations. For the purpose of this report, a representative BOM structure adhering to the specified format (ID, Description, Category, Process, Qty, Unit, Emission Factor, Total Carbon) is presented. The emission factors are indicative industry-standard values (e.g., from Ecoinvent), emphasizing that the actual calculation would utilize the precise data from \'nmqeyzzl\' if directly parsable.</w:t>
      </w:r>
    </w:p>
    <w:p>
      <w:pPr>
        <w:pStyle w:val="BodyText"/>
      </w:pPr>
      <w:r>
        <w:rPr>
          <w:bCs/>
          <w:b/>
        </w:rPr>
        <w:t xml:space="preserve">Provided BOM Data String:</w:t>
      </w:r>
      <w:r>
        <w:t xml:space="preserve"> </w:t>
      </w:r>
      <w:r>
        <w:t xml:space="preserve">nmqeyzzl (placeholder)</w:t>
      </w:r>
    </w:p>
    <w:bookmarkStart w:id="29" w:name="X22117d7bf16eb3e79ff1c642ed8f2002ac451f6"/>
    <w:p>
      <w:pPr>
        <w:pStyle w:val="Heading4"/>
      </w:pPr>
      <w:r>
        <w:t xml:space="preserve">Table 1: Representative Bill of Materials for mzwuijkxoh</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Assumed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4.50 (Ecoinvent average)</w:t>
            </w:r>
          </w:p>
        </w:tc>
        <w:tc>
          <w:tcPr/>
          <w:p>
            <w:pPr>
              <w:pStyle w:val="Compact"/>
              <w:jc w:val="left"/>
            </w:pPr>
            <w:r>
              <w:t xml:space="preserve">3.60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Anodizing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12.00 (Ecoinvent average)</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40.00 (Ecoinvent average)</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25.00 (Ecoinvent average)</w:t>
            </w:r>
          </w:p>
        </w:tc>
        <w:tc>
          <w:tcPr/>
          <w:p>
            <w:pPr>
              <w:pStyle w:val="Compact"/>
              <w:jc w:val="left"/>
            </w:pPr>
            <w:r>
              <w:t xml:space="preserve">3.75</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6.00 (Ecoinvent average)</w:t>
            </w:r>
          </w:p>
        </w:tc>
        <w:tc>
          <w:tcPr/>
          <w:p>
            <w:pPr>
              <w:pStyle w:val="Compact"/>
              <w:jc w:val="left"/>
            </w:pPr>
            <w:r>
              <w:t xml:space="preserve">0.12</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 (Ecoinvent average)</w:t>
            </w:r>
          </w:p>
        </w:tc>
        <w:tc>
          <w:tcPr/>
          <w:p>
            <w:pPr>
              <w:pStyle w:val="Compact"/>
              <w:jc w:val="left"/>
            </w:pPr>
            <w:r>
              <w:t xml:space="preserve">0.16</w:t>
            </w:r>
          </w:p>
        </w:tc>
      </w:tr>
      <w:tr>
        <w:tc>
          <w:tcPr>
            <w:gridSpan w:val="7"/>
          </w:tcPr>
          <w:p>
            <w:pPr>
              <w:pStyle w:val="Compact"/>
              <w:jc w:val="left"/>
            </w:pPr>
            <w:r>
              <w:rPr>
                <w:bCs/>
                <w:b/>
              </w:rPr>
              <w:t xml:space="preserve">Total Material Carbon Footprint (excluding transport to factory)</w:t>
            </w:r>
          </w:p>
        </w:tc>
        <w:tc>
          <w:tcPr/>
          <w:p>
            <w:pPr>
              <w:pStyle w:val="Compact"/>
              <w:jc w:val="left"/>
            </w:pPr>
            <w:r>
              <w:rPr>
                <w:bCs/>
                <w:b/>
              </w:rPr>
              <w:t xml:space="preserve">13.23 kg CO2e</w:t>
            </w:r>
          </w:p>
        </w:tc>
      </w:tr>
    </w:tbl>
    <w:bookmarkEnd w:id="29"/>
    <w:bookmarkEnd w:id="30"/>
    <w:bookmarkStart w:id="31" w:name="production-energy-inputs-scope-1-2"/>
    <w:p>
      <w:pPr>
        <w:pStyle w:val="Heading3"/>
      </w:pPr>
      <w:r>
        <w:t xml:space="preserve">2.2. Production Energy Inputs (Scope 1 &amp; 2)</w:t>
      </w:r>
    </w:p>
    <w:p>
      <w:pPr>
        <w:pStyle w:val="FirstParagraph"/>
      </w:pPr>
      <w:r>
        <w:t xml:space="preserve">Production takes place in China. Energy consumption data is critical for quantifying direct and indirect emissions from manufacturing.</w:t>
      </w:r>
    </w:p>
    <w:p>
      <w:pPr>
        <w:numPr>
          <w:ilvl w:val="0"/>
          <w:numId w:val="1005"/>
        </w:numPr>
        <w:pStyle w:val="Compact"/>
      </w:pPr>
      <w:r>
        <w:rPr>
          <w:bCs/>
          <w:b/>
        </w:rPr>
        <w:t xml:space="preserve">Energy Intensity (kWh/unit):</w:t>
      </w:r>
      <w:r>
        <w:t xml:space="preserve"> </w:t>
      </w:r>
      <w:r>
        <w:t xml:space="preserve">hlhthngmjz (Assumed: 15 kWh/unit)</w:t>
      </w:r>
    </w:p>
    <w:p>
      <w:pPr>
        <w:numPr>
          <w:ilvl w:val="0"/>
          <w:numId w:val="1005"/>
        </w:numPr>
        <w:pStyle w:val="Compact"/>
      </w:pPr>
      <w:r>
        <w:rPr>
          <w:bCs/>
          <w:b/>
        </w:rPr>
        <w:t xml:space="preserve">Renewable Energy Usage:</w:t>
      </w:r>
      <w:r>
        <w:t xml:space="preserve"> </w:t>
      </w:r>
      <w:r>
        <w:t xml:space="preserve">mzpwkymxtr (Assumed: 30% of electricity purchased is from renewable sources)</w:t>
      </w:r>
    </w:p>
    <w:p>
      <w:pPr>
        <w:numPr>
          <w:ilvl w:val="0"/>
          <w:numId w:val="1005"/>
        </w:numPr>
        <w:pStyle w:val="Compact"/>
      </w:pPr>
      <w:r>
        <w:rPr>
          <w:bCs/>
          <w:b/>
        </w:rPr>
        <w:t xml:space="preserve">Electricity Grid Emission Factor (China):</w:t>
      </w:r>
      <w:r>
        <w:t xml:space="preserve"> </w:t>
      </w:r>
      <w:r>
        <w:t xml:space="preserve">Assumed 0.557 kg CO2e/kWh for the conventional grid mix.</w:t>
      </w:r>
    </w:p>
    <w:p>
      <w:pPr>
        <w:numPr>
          <w:ilvl w:val="0"/>
          <w:numId w:val="1005"/>
        </w:numPr>
        <w:pStyle w:val="Compact"/>
      </w:pPr>
      <w:r>
        <w:rPr>
          <w:bCs/>
          <w:b/>
        </w:rPr>
        <w:t xml:space="preserve">Direct Fuel Combustion (Scope 1):</w:t>
      </w:r>
      <w:r>
        <w:t xml:space="preserve"> </w:t>
      </w:r>
      <w:r>
        <w:t xml:space="preserve">Not specified, assumed minimal for manufacturing mzwuijkxoh.</w:t>
      </w:r>
    </w:p>
    <w:bookmarkEnd w:id="31"/>
    <w:bookmarkStart w:id="32" w:name="X44549f4e0f966634f119e6d9621d5d1b43bdeba"/>
    <w:p>
      <w:pPr>
        <w:pStyle w:val="Heading3"/>
      </w:pPr>
      <w:r>
        <w:t xml:space="preserve">2.3. Transportation and Distribution (Scope 3 - Upstream &amp; Downstream)</w:t>
      </w:r>
    </w:p>
    <w:p>
      <w:pPr>
        <w:pStyle w:val="FirstParagraph"/>
      </w:pPr>
      <w:r>
        <w:t xml:space="preserve">Logistics play a significant role in the product\'s footprint. The analysis incorporates specific transport parameters.</w:t>
      </w:r>
    </w:p>
    <w:p>
      <w:pPr>
        <w:numPr>
          <w:ilvl w:val="0"/>
          <w:numId w:val="1006"/>
        </w:numPr>
        <w:pStyle w:val="Compact"/>
      </w:pPr>
      <w:r>
        <w:rPr>
          <w:bCs/>
          <w:b/>
        </w:rPr>
        <w:t xml:space="preserve">Transport Mode (Main Freight):</w:t>
      </w:r>
      <w:r>
        <w:t xml:space="preserve"> </w:t>
      </w:r>
      <w:r>
        <w:t xml:space="preserve">Select Mode (Assumed: Road freight, articulated lorry &gt;28t, 50-70% load factor, for European inbound supply chain).</w:t>
      </w:r>
    </w:p>
    <w:p>
      <w:pPr>
        <w:numPr>
          <w:ilvl w:val="0"/>
          <w:numId w:val="1006"/>
        </w:numPr>
        <w:pStyle w:val="Compact"/>
      </w:pPr>
      <w:r>
        <w:rPr>
          <w:bCs/>
          <w:b/>
        </w:rPr>
        <w:t xml:space="preserve">Transport Distance (Main Freight - Upstream):</w:t>
      </w:r>
      <w:r>
        <w:t xml:space="preserve"> </w:t>
      </w:r>
      <w:r>
        <w:t xml:space="preserve">fmdyhntgek (Assumed: 2000 km for average material transport within Europe to port, then 10,000 km for ocean freight to China, and 500 km for road freight within China to factory).</w:t>
      </w:r>
    </w:p>
    <w:p>
      <w:pPr>
        <w:numPr>
          <w:ilvl w:val="0"/>
          <w:numId w:val="1006"/>
        </w:numPr>
        <w:pStyle w:val="Compact"/>
      </w:pPr>
      <w:r>
        <w:rPr>
          <w:bCs/>
          <w:b/>
        </w:rPr>
        <w:t xml:space="preserve">Transport Mode (Outbound/Distribution):</w:t>
      </w:r>
      <w:r>
        <w:t xml:space="preserve"> </w:t>
      </w:r>
      <w:r>
        <w:t xml:space="preserve">Assumed: Ocean freight (China to Europe) and Road freight (Europe distribution).</w:t>
      </w:r>
    </w:p>
    <w:p>
      <w:pPr>
        <w:numPr>
          <w:ilvl w:val="0"/>
          <w:numId w:val="1006"/>
        </w:numPr>
        <w:pStyle w:val="Compact"/>
      </w:pPr>
      <w:r>
        <w:rPr>
          <w:bCs/>
          <w:b/>
        </w:rPr>
        <w:t xml:space="preserve">Transport Distance (Outbound - Downstream):</w:t>
      </w:r>
      <w:r>
        <w:t xml:space="preserve"> </w:t>
      </w:r>
      <w:r>
        <w:t xml:space="preserve">Assumed: 10,000 km (ocean freight) + 500 km (road freight within Europe to distribution center) + fmdyhntgek (Assumed: another 500 km for final distribution from DC to customer).</w:t>
      </w:r>
    </w:p>
    <w:p>
      <w:pPr>
        <w:numPr>
          <w:ilvl w:val="0"/>
          <w:numId w:val="1006"/>
        </w:numPr>
        <w:pStyle w:val="Compact"/>
      </w:pPr>
      <w:r>
        <w:rPr>
          <w:bCs/>
          <w:b/>
        </w:rPr>
        <w:t xml:space="preserve">Last-Mile Delivery Channel:</w:t>
      </w:r>
      <w:r>
        <w:t xml:space="preserve"> </w:t>
      </w:r>
      <w:r>
        <w:t xml:space="preserve">Delivery Type (Assumed: Small commercial vehicle (diesel) for last-mile delivery).</w:t>
      </w:r>
    </w:p>
    <w:p>
      <w:pPr>
        <w:numPr>
          <w:ilvl w:val="0"/>
          <w:numId w:val="1006"/>
        </w:numPr>
        <w:pStyle w:val="Compact"/>
      </w:pPr>
      <w:r>
        <w:rPr>
          <w:bCs/>
          <w:b/>
        </w:rPr>
        <w:t xml:space="preserve">Assumed Freight Weights:</w:t>
      </w:r>
    </w:p>
    <w:p>
      <w:pPr>
        <w:numPr>
          <w:ilvl w:val="1"/>
          <w:numId w:val="1007"/>
        </w:numPr>
        <w:pStyle w:val="Compact"/>
      </w:pPr>
      <w:r>
        <w:t xml:space="preserve">Inbound Materials (aggregated): 1.5 kg (product materials + packaging) + 0.5 kg (attributable portion of shipping materials/pallets) = 2 kg/unit.</w:t>
      </w:r>
    </w:p>
    <w:p>
      <w:pPr>
        <w:numPr>
          <w:ilvl w:val="1"/>
          <w:numId w:val="1007"/>
        </w:numPr>
        <w:pStyle w:val="Compact"/>
      </w:pPr>
      <w:r>
        <w:t xml:space="preserve">Outbound Product: 1.5 kg/unit.</w:t>
      </w:r>
    </w:p>
    <w:p>
      <w:pPr>
        <w:numPr>
          <w:ilvl w:val="0"/>
          <w:numId w:val="1006"/>
        </w:numPr>
        <w:pStyle w:val="Compact"/>
      </w:pPr>
      <w:r>
        <w:rPr>
          <w:bCs/>
          <w:b/>
        </w:rPr>
        <w:t xml:space="preserve">Emission Factors for Transport (DEFRA/Ecoinvent based):</w:t>
      </w:r>
    </w:p>
    <w:p>
      <w:pPr>
        <w:numPr>
          <w:ilvl w:val="1"/>
          <w:numId w:val="1008"/>
        </w:numPr>
        <w:pStyle w:val="Compact"/>
      </w:pPr>
      <w:r>
        <w:t xml:space="preserve">Road freight (articulated lorry &gt;28t, 50-70% load): ~0.08 kg CO2e/tkm.</w:t>
      </w:r>
    </w:p>
    <w:p>
      <w:pPr>
        <w:numPr>
          <w:ilvl w:val="1"/>
          <w:numId w:val="1008"/>
        </w:numPr>
        <w:pStyle w:val="Compact"/>
      </w:pPr>
      <w:r>
        <w:t xml:space="preserve">Ocean freight (container ship): ~0.01 kg CO2e/tkm.</w:t>
      </w:r>
    </w:p>
    <w:p>
      <w:pPr>
        <w:numPr>
          <w:ilvl w:val="1"/>
          <w:numId w:val="1008"/>
        </w:numPr>
        <w:pStyle w:val="Compact"/>
      </w:pPr>
      <w:r>
        <w:t xml:space="preserve">Small commercial vehicle (last-mile): ~0.30 kg CO2e/tkm (higher per-tonne due to smaller load).</w:t>
      </w:r>
    </w:p>
    <w:bookmarkEnd w:id="32"/>
    <w:bookmarkStart w:id="33" w:name="use-phase-scope-3---downstream"/>
    <w:p>
      <w:pPr>
        <w:pStyle w:val="Heading3"/>
      </w:pPr>
      <w:r>
        <w:t xml:space="preserve">2.4. Use Phase (Scope 3 - Downstream)</w:t>
      </w:r>
    </w:p>
    <w:p>
      <w:pPr>
        <w:pStyle w:val="FirstParagraph"/>
      </w:pPr>
      <w:r>
        <w:t xml:space="preserve">The energy consumed during the product\'s operational life is a significant contributor to its PCF.</w:t>
      </w:r>
    </w:p>
    <w:p>
      <w:pPr>
        <w:numPr>
          <w:ilvl w:val="0"/>
          <w:numId w:val="1009"/>
        </w:numPr>
        <w:pStyle w:val="Compact"/>
      </w:pPr>
      <w:r>
        <w:rPr>
          <w:bCs/>
          <w:b/>
        </w:rPr>
        <w:t xml:space="preserve">Product Lifespan:</w:t>
      </w:r>
      <w:r>
        <w:t xml:space="preserve"> </w:t>
      </w:r>
      <w:r>
        <w:t xml:space="preserve">quwtungjmo (Assumed: 5 years)</w:t>
      </w:r>
    </w:p>
    <w:p>
      <w:pPr>
        <w:numPr>
          <w:ilvl w:val="0"/>
          <w:numId w:val="1009"/>
        </w:numPr>
        <w:pStyle w:val="Compact"/>
      </w:pPr>
      <w:r>
        <w:rPr>
          <w:bCs/>
          <w:b/>
        </w:rPr>
        <w:t xml:space="preserve">Energy Consumption in Use:</w:t>
      </w:r>
      <w:r>
        <w:t xml:space="preserve"> </w:t>
      </w:r>
      <w:r>
        <w:t xml:space="preserve">nzfqfwgeet (Assumed: 10 kWh/year)</w:t>
      </w:r>
    </w:p>
    <w:p>
      <w:pPr>
        <w:numPr>
          <w:ilvl w:val="0"/>
          <w:numId w:val="1009"/>
        </w:numPr>
        <w:pStyle w:val="Compact"/>
      </w:pPr>
      <w:r>
        <w:rPr>
          <w:bCs/>
          <w:b/>
        </w:rPr>
        <w:t xml:space="preserve">Electricity Grid Emission Factor (Europe):</w:t>
      </w:r>
      <w:r>
        <w:t xml:space="preserve"> </w:t>
      </w:r>
      <w:r>
        <w:t xml:space="preserve">Assumed 0.250 kg CO2e/kWh (average for Europe, acknowledging regional variation).</w:t>
      </w:r>
    </w:p>
    <w:bookmarkEnd w:id="33"/>
    <w:bookmarkStart w:id="34" w:name="X2449e76f36fce2c9fec3c701a472f020b80894d"/>
    <w:p>
      <w:pPr>
        <w:pStyle w:val="Heading3"/>
      </w:pPr>
      <w:r>
        <w:t xml:space="preserve">2.5. End-of-Life (EoL) Scenarios (Scope 3 - Downstream)</w:t>
      </w:r>
    </w:p>
    <w:p>
      <w:pPr>
        <w:pStyle w:val="FirstParagraph"/>
      </w:pPr>
      <w:r>
        <w:t xml:space="preserve">The product\'s end-of-life treatment impacts are considered, reflecting circular economy principles.</w:t>
      </w:r>
    </w:p>
    <w:p>
      <w:pPr>
        <w:numPr>
          <w:ilvl w:val="0"/>
          <w:numId w:val="1010"/>
        </w:numPr>
        <w:pStyle w:val="Compact"/>
      </w:pPr>
      <w:r>
        <w:rPr>
          <w:bCs/>
          <w:b/>
        </w:rPr>
        <w:t xml:space="preserve">Recyclability Percentage:</w:t>
      </w:r>
      <w:r>
        <w:t xml:space="preserve"> </w:t>
      </w:r>
      <w:r>
        <w:t xml:space="preserve">zdwyqrkhyl (Assumed: 70% of material mass is recycled)</w:t>
      </w:r>
    </w:p>
    <w:p>
      <w:pPr>
        <w:numPr>
          <w:ilvl w:val="0"/>
          <w:numId w:val="1010"/>
        </w:numPr>
        <w:pStyle w:val="Compact"/>
      </w:pPr>
      <w:r>
        <w:rPr>
          <w:bCs/>
          <w:b/>
        </w:rPr>
        <w:t xml:space="preserve">Circular/Take-back Programs:</w:t>
      </w:r>
      <w:r>
        <w:t xml:space="preserve"> </w:t>
      </w:r>
      <w:r>
        <w:t xml:space="preserve">oqlhinjvdp (Assumed: Yes, robust take-back program contributing to material recovery, thus reducing virgin material demand for new products.)</w:t>
      </w:r>
    </w:p>
    <w:p>
      <w:pPr>
        <w:numPr>
          <w:ilvl w:val="0"/>
          <w:numId w:val="1010"/>
        </w:numPr>
        <w:pStyle w:val="Compact"/>
      </w:pPr>
      <w:r>
        <w:rPr>
          <w:bCs/>
          <w:b/>
        </w:rPr>
        <w:t xml:space="preserve">Assumed EoL Emission Factors:</w:t>
      </w:r>
    </w:p>
    <w:p>
      <w:pPr>
        <w:numPr>
          <w:ilvl w:val="1"/>
          <w:numId w:val="1011"/>
        </w:numPr>
        <w:pStyle w:val="Compact"/>
      </w:pPr>
      <w:r>
        <w:t xml:space="preserve">Landfill (non-recycled portion): ~0.5 kg CO2e/kg (varies by material).</w:t>
      </w:r>
    </w:p>
    <w:p>
      <w:pPr>
        <w:numPr>
          <w:ilvl w:val="1"/>
          <w:numId w:val="1011"/>
        </w:numPr>
        <w:pStyle w:val="Compact"/>
      </w:pPr>
      <w:r>
        <w:t xml:space="preserve">Recycling (net benefit/burden): Recycling processes have associated emissions but can also offset virgin material production. For the 70% recycled portion, a net credit or significantly reduced burden is assumed, based on a "cut-off" or "avoided burden" approach common in LCA. For this calculation, a net emission of 0.1 kg CO2e/kg for recycling processing is used, reflecting the energy needed, without applying a full credit against virgin material.</w:t>
      </w:r>
    </w:p>
    <w:p>
      <w:r>
        <w:pict>
          <v:rect style="width:0;height:1.5pt" o:hralign="center" o:hrstd="t" o:hr="t"/>
        </w:pict>
      </w:r>
    </w:p>
    <w:bookmarkEnd w:id="34"/>
    <w:bookmarkEnd w:id="35"/>
    <w:bookmarkStart w:id="45" w:name="Xdd1c2ba429305467bad58a0828410d9d0fce25c"/>
    <w:p>
      <w:pPr>
        <w:pStyle w:val="Heading2"/>
      </w:pPr>
      <w:r>
        <w:t xml:space="preserve">4. Emissions Calculation (Activity * Emission Factor = CO2e)</w:t>
      </w:r>
    </w:p>
    <w:p>
      <w:pPr>
        <w:pStyle w:val="FirstParagraph"/>
      </w:pPr>
      <w:r>
        <w:t xml:space="preserve">Emissions are calculated for each lifecycle stage based on activity data multiplied by appropriate emission factors. All calculations are in kg CO2e (carbon dioxide equivalent) to account for all relevant greenhouse gases.</w:t>
      </w:r>
    </w:p>
    <w:bookmarkStart w:id="36" w:name="X06a032b4b904b4e0c4cbf2970bc9aee5d87af00"/>
    <w:p>
      <w:pPr>
        <w:pStyle w:val="Heading3"/>
      </w:pPr>
      <w:r>
        <w:t xml:space="preserve">4.1. Raw Material Acquisition and Pre-processing (Scope 3 - Upstream)</w:t>
      </w:r>
    </w:p>
    <w:p>
      <w:pPr>
        <w:pStyle w:val="FirstParagraph"/>
      </w:pPr>
      <w:r>
        <w:t xml:space="preserve">Based on the representative BOM (Table 1), the total carbon footprint from materials is</w:t>
      </w:r>
      <w:r>
        <w:t xml:space="preserve"> </w:t>
      </w:r>
      <w:r>
        <w:rPr>
          <w:bCs/>
          <w:b/>
        </w:rPr>
        <w:t xml:space="preserve">13.23 kg CO2e/unit</w:t>
      </w:r>
      <w:r>
        <w:t xml:space="preserve">.</w:t>
      </w:r>
    </w:p>
    <w:bookmarkEnd w:id="36"/>
    <w:bookmarkStart w:id="37" w:name="production-phase-scope-1-2"/>
    <w:p>
      <w:pPr>
        <w:pStyle w:val="Heading3"/>
      </w:pPr>
      <w:r>
        <w:t xml:space="preserve">4.2. Production Phase (Scope 1 &amp; 2)</w:t>
      </w:r>
    </w:p>
    <w:p>
      <w:pPr>
        <w:pStyle w:val="FirstParagraph"/>
      </w:pPr>
      <w:r>
        <w:t xml:space="preserve">Calculations for the production of mzwuijkxoh in China:</w:t>
      </w:r>
    </w:p>
    <w:p>
      <w:pPr>
        <w:numPr>
          <w:ilvl w:val="0"/>
          <w:numId w:val="1012"/>
        </w:numPr>
        <w:pStyle w:val="Compact"/>
      </w:pPr>
      <w:r>
        <w:t xml:space="preserve">Total electricity consumption: 15 kWh/unit [cite: hlhthngmjz]</w:t>
      </w:r>
    </w:p>
    <w:p>
      <w:pPr>
        <w:numPr>
          <w:ilvl w:val="0"/>
          <w:numId w:val="1012"/>
        </w:numPr>
        <w:pStyle w:val="Compact"/>
      </w:pPr>
      <w:r>
        <w:t xml:space="preserve">Renewable energy usage: 30% [cite: mzpwkymxtr]</w:t>
      </w:r>
    </w:p>
    <w:p>
      <w:pPr>
        <w:numPr>
          <w:ilvl w:val="0"/>
          <w:numId w:val="1012"/>
        </w:numPr>
        <w:pStyle w:val="Compact"/>
      </w:pPr>
      <w:r>
        <w:t xml:space="preserve">Grid electricity consumption: 15 kWh * (1 - 0.30) = 10.5 kWh/unit</w:t>
      </w:r>
    </w:p>
    <w:p>
      <w:pPr>
        <w:numPr>
          <w:ilvl w:val="0"/>
          <w:numId w:val="1012"/>
        </w:numPr>
        <w:pStyle w:val="Compact"/>
      </w:pPr>
      <w:r>
        <w:t xml:space="preserve">Emissions from grid electricity: 10.5 kWh/unit * 0.557 kg CO2e/kWh (China grid) = 5.85 kg CO2e/unit</w:t>
      </w:r>
    </w:p>
    <w:p>
      <w:pPr>
        <w:numPr>
          <w:ilvl w:val="0"/>
          <w:numId w:val="1012"/>
        </w:numPr>
        <w:pStyle w:val="Compact"/>
      </w:pPr>
      <w:r>
        <w:t xml:space="preserve">Direct emissions (Scope 1): Assumed negligible as no direct fuel combustion data was provided.</w:t>
      </w:r>
    </w:p>
    <w:p>
      <w:pPr>
        <w:pStyle w:val="FirstParagraph"/>
      </w:pPr>
      <w:r>
        <w:rPr>
          <w:bCs/>
          <w:b/>
        </w:rPr>
        <w:t xml:space="preserve">Total Production Emissions (Scope 2): 5.85 kg CO2e/unit</w:t>
      </w:r>
    </w:p>
    <w:bookmarkEnd w:id="37"/>
    <w:bookmarkStart w:id="40" w:name="X9522adb9004890ff37c3fba3858a8e780a7327a"/>
    <w:p>
      <w:pPr>
        <w:pStyle w:val="Heading3"/>
      </w:pPr>
      <w:r>
        <w:t xml:space="preserve">4.3. Transportation and Distribution (Scope 3 - Upstream &amp; Downstream)</w:t>
      </w:r>
    </w:p>
    <w:bookmarkStart w:id="38" w:name="X86c0f34a75b294f5538715cb6d8081b06081652"/>
    <w:p>
      <w:pPr>
        <w:pStyle w:val="Heading4"/>
      </w:pPr>
      <w:r>
        <w:t xml:space="preserve">Upstream Transportation (Materials to Factory)</w:t>
      </w:r>
    </w:p>
    <w:p>
      <w:pPr>
        <w:numPr>
          <w:ilvl w:val="0"/>
          <w:numId w:val="1013"/>
        </w:numPr>
        <w:pStyle w:val="Compact"/>
      </w:pPr>
      <w:r>
        <w:t xml:space="preserve">Total material weight (including packaging burden): 2 kg/unit</w:t>
      </w:r>
    </w:p>
    <w:p>
      <w:pPr>
        <w:numPr>
          <w:ilvl w:val="0"/>
          <w:numId w:val="1013"/>
        </w:numPr>
        <w:pStyle w:val="Compact"/>
      </w:pPr>
      <w:r>
        <w:rPr>
          <w:bCs/>
          <w:b/>
        </w:rPr>
        <w:t xml:space="preserve">European Road Freight:</w:t>
      </w:r>
      <w:r>
        <w:t xml:space="preserve"> </w:t>
      </w:r>
      <w:r>
        <w:t xml:space="preserve">2 kg/unit * 2000 km * 0.08 kg CO2e/tkm = 0.32 kg CO2e/unit</w:t>
      </w:r>
    </w:p>
    <w:p>
      <w:pPr>
        <w:numPr>
          <w:ilvl w:val="0"/>
          <w:numId w:val="1013"/>
        </w:numPr>
        <w:pStyle w:val="Compact"/>
      </w:pPr>
      <w:r>
        <w:rPr>
          <w:bCs/>
          <w:b/>
        </w:rPr>
        <w:t xml:space="preserve">Ocean Freight (Europe to China):</w:t>
      </w:r>
      <w:r>
        <w:t xml:space="preserve"> </w:t>
      </w:r>
      <w:r>
        <w:t xml:space="preserve">2 kg/unit * 10000 km * 0.01 kg CO2e/tkm = 0.20 kg CO2e/unit</w:t>
      </w:r>
    </w:p>
    <w:p>
      <w:pPr>
        <w:numPr>
          <w:ilvl w:val="0"/>
          <w:numId w:val="1013"/>
        </w:numPr>
        <w:pStyle w:val="Compact"/>
      </w:pPr>
      <w:r>
        <w:rPr>
          <w:bCs/>
          <w:b/>
        </w:rPr>
        <w:t xml:space="preserve">Chinese Road Freight (Port to Factory):</w:t>
      </w:r>
      <w:r>
        <w:t xml:space="preserve"> </w:t>
      </w:r>
      <w:r>
        <w:t xml:space="preserve">2 kg/unit * 500 km * 0.08 kg CO2e/tkm = 0.08 kg CO2e/unit</w:t>
      </w:r>
    </w:p>
    <w:p>
      <w:pPr>
        <w:pStyle w:val="FirstParagraph"/>
      </w:pPr>
      <w:r>
        <w:rPr>
          <w:bCs/>
          <w:b/>
        </w:rPr>
        <w:t xml:space="preserve">Total Upstream Transport Emissions: 0.32 + 0.20 + 0.08 = 0.60 kg CO2e/unit</w:t>
      </w:r>
    </w:p>
    <w:bookmarkEnd w:id="38"/>
    <w:bookmarkStart w:id="39" w:name="X068cfd5c43fb5bab7f106759a50ceb419cee4ea"/>
    <w:p>
      <w:pPr>
        <w:pStyle w:val="Heading4"/>
      </w:pPr>
      <w:r>
        <w:t xml:space="preserve">Downstream Transportation (Factory to Customer)</w:t>
      </w:r>
    </w:p>
    <w:p>
      <w:pPr>
        <w:numPr>
          <w:ilvl w:val="0"/>
          <w:numId w:val="1014"/>
        </w:numPr>
        <w:pStyle w:val="Compact"/>
      </w:pPr>
      <w:r>
        <w:t xml:space="preserve">Product weight: 1.5 kg/unit</w:t>
      </w:r>
    </w:p>
    <w:p>
      <w:pPr>
        <w:numPr>
          <w:ilvl w:val="0"/>
          <w:numId w:val="1014"/>
        </w:numPr>
        <w:pStyle w:val="Compact"/>
      </w:pPr>
      <w:r>
        <w:rPr>
          <w:bCs/>
          <w:b/>
        </w:rPr>
        <w:t xml:space="preserve">Ocean Freight (China to Europe):</w:t>
      </w:r>
      <w:r>
        <w:t xml:space="preserve"> </w:t>
      </w:r>
      <w:r>
        <w:t xml:space="preserve">1.5 kg/unit * 10000 km * 0.01 kg CO2e/tkm = 0.15 kg CO2e/unit</w:t>
      </w:r>
    </w:p>
    <w:p>
      <w:pPr>
        <w:numPr>
          <w:ilvl w:val="0"/>
          <w:numId w:val="1014"/>
        </w:numPr>
        <w:pStyle w:val="Compact"/>
      </w:pPr>
      <w:r>
        <w:rPr>
          <w:bCs/>
          <w:b/>
        </w:rPr>
        <w:t xml:space="preserve">European Road Freight (Port to DC):</w:t>
      </w:r>
      <w:r>
        <w:t xml:space="preserve"> </w:t>
      </w:r>
      <w:r>
        <w:t xml:space="preserve">1.5 kg/unit * 500 km * 0.08 kg CO2e/tkm = 0.06 kg CO2e/unit</w:t>
      </w:r>
    </w:p>
    <w:p>
      <w:pPr>
        <w:numPr>
          <w:ilvl w:val="0"/>
          <w:numId w:val="1014"/>
        </w:numPr>
        <w:pStyle w:val="Compact"/>
      </w:pPr>
      <w:r>
        <w:rPr>
          <w:bCs/>
          <w:b/>
        </w:rPr>
        <w:t xml:space="preserve">Last-Mile Delivery (DC to Customer):</w:t>
      </w:r>
      <w:r>
        <w:t xml:space="preserve"> </w:t>
      </w:r>
      <w:r>
        <w:t xml:space="preserve">1.5 kg/unit * 500 km * 0.30 kg CO2e/tkm = 0.225 kg CO2e/unit</w:t>
      </w:r>
    </w:p>
    <w:p>
      <w:pPr>
        <w:pStyle w:val="FirstParagraph"/>
      </w:pPr>
      <w:r>
        <w:rPr>
          <w:bCs/>
          <w:b/>
        </w:rPr>
        <w:t xml:space="preserve">Total Downstream Transport Emissions: 0.15 + 0.06 + 0.225 = 0.435 kg CO2e/unit</w:t>
      </w:r>
    </w:p>
    <w:p>
      <w:pPr>
        <w:pStyle w:val="BodyText"/>
      </w:pPr>
      <w:r>
        <w:rPr>
          <w:bCs/>
          <w:b/>
        </w:rPr>
        <w:t xml:space="preserve">Total Transportation and Distribution Emissions (Scope 3): 0.60 + 0.435 = 1.035 kg CO2e/unit</w:t>
      </w:r>
    </w:p>
    <w:bookmarkEnd w:id="39"/>
    <w:bookmarkEnd w:id="40"/>
    <w:bookmarkStart w:id="41" w:name="use-phase-scope-3---downstream-1"/>
    <w:p>
      <w:pPr>
        <w:pStyle w:val="Heading3"/>
      </w:pPr>
      <w:r>
        <w:t xml:space="preserve">4.4. Use Phase (Scope 3 - Downstream)</w:t>
      </w:r>
    </w:p>
    <w:p>
      <w:pPr>
        <w:numPr>
          <w:ilvl w:val="0"/>
          <w:numId w:val="1015"/>
        </w:numPr>
        <w:pStyle w:val="Compact"/>
      </w:pPr>
      <w:r>
        <w:t xml:space="preserve">Product Lifespan: 5 years [cite: quwtungjmo]</w:t>
      </w:r>
    </w:p>
    <w:p>
      <w:pPr>
        <w:numPr>
          <w:ilvl w:val="0"/>
          <w:numId w:val="1015"/>
        </w:numPr>
        <w:pStyle w:val="Compact"/>
      </w:pPr>
      <w:r>
        <w:t xml:space="preserve">Energy Consumption: 10 kWh/year [cite: nzfqfwgeet]</w:t>
      </w:r>
    </w:p>
    <w:p>
      <w:pPr>
        <w:numPr>
          <w:ilvl w:val="0"/>
          <w:numId w:val="1015"/>
        </w:numPr>
        <w:pStyle w:val="Compact"/>
      </w:pPr>
      <w:r>
        <w:t xml:space="preserve">Total energy consumption over lifespan: 10 kWh/year * 5 years = 50 kWh/unit</w:t>
      </w:r>
    </w:p>
    <w:p>
      <w:pPr>
        <w:numPr>
          <w:ilvl w:val="0"/>
          <w:numId w:val="1015"/>
        </w:numPr>
        <w:pStyle w:val="Compact"/>
      </w:pPr>
      <w:r>
        <w:t xml:space="preserve">Emissions from energy in use: 50 kWh/unit * 0.250 kg CO2e/kWh (Europe grid) = 12.50 kg CO2e/unit</w:t>
      </w:r>
    </w:p>
    <w:p>
      <w:pPr>
        <w:pStyle w:val="FirstParagraph"/>
      </w:pPr>
      <w:r>
        <w:rPr>
          <w:bCs/>
          <w:b/>
        </w:rPr>
        <w:t xml:space="preserve">Total Use Phase Emissions (Scope 3): 12.50 kg CO2e/unit</w:t>
      </w:r>
    </w:p>
    <w:bookmarkEnd w:id="41"/>
    <w:bookmarkStart w:id="42" w:name="X92fbc61eed99b9d9aafbebcbbd2c7ad7660f7e4"/>
    <w:p>
      <w:pPr>
        <w:pStyle w:val="Heading3"/>
      </w:pPr>
      <w:r>
        <w:t xml:space="preserve">4.5. End-of-Life (EoL) Phase (Scope 3 - Downstream)</w:t>
      </w:r>
    </w:p>
    <w:p>
      <w:pPr>
        <w:numPr>
          <w:ilvl w:val="0"/>
          <w:numId w:val="1016"/>
        </w:numPr>
        <w:pStyle w:val="Compact"/>
      </w:pPr>
      <w:r>
        <w:t xml:space="preserve">Total product mass (excluding primary packaging disposed upstream, focusing on the product itself at EoL): 1.37 kg (sum of M001 to M005 from Table 1)</w:t>
      </w:r>
    </w:p>
    <w:p>
      <w:pPr>
        <w:numPr>
          <w:ilvl w:val="0"/>
          <w:numId w:val="1016"/>
        </w:numPr>
        <w:pStyle w:val="Compact"/>
      </w:pPr>
      <w:r>
        <w:t xml:space="preserve">Recyclability Percentage: 70% [cite: zdwyqrkhyl]</w:t>
      </w:r>
    </w:p>
    <w:p>
      <w:pPr>
        <w:numPr>
          <w:ilvl w:val="0"/>
          <w:numId w:val="1016"/>
        </w:numPr>
        <w:pStyle w:val="Compact"/>
      </w:pPr>
      <w:r>
        <w:t xml:space="preserve">Mass recycled: 1.37 kg * 0.70 = 0.959 kg</w:t>
      </w:r>
    </w:p>
    <w:p>
      <w:pPr>
        <w:numPr>
          <w:ilvl w:val="0"/>
          <w:numId w:val="1016"/>
        </w:numPr>
        <w:pStyle w:val="Compact"/>
      </w:pPr>
      <w:r>
        <w:t xml:space="preserve">Mass to landfill (non-recycled): 1.37 kg * (1 - 0.70) = 0.411 kg</w:t>
      </w:r>
    </w:p>
    <w:p>
      <w:pPr>
        <w:numPr>
          <w:ilvl w:val="0"/>
          <w:numId w:val="1016"/>
        </w:numPr>
        <w:pStyle w:val="Compact"/>
      </w:pPr>
      <w:r>
        <w:t xml:space="preserve">Emissions from recycling process (net burden): 0.959 kg * 0.1 kg CO2e/kg = 0.096 kg CO2e/unit</w:t>
      </w:r>
    </w:p>
    <w:p>
      <w:pPr>
        <w:numPr>
          <w:ilvl w:val="0"/>
          <w:numId w:val="1016"/>
        </w:numPr>
        <w:pStyle w:val="Compact"/>
      </w:pPr>
      <w:r>
        <w:t xml:space="preserve">Emissions from landfill: 0.411 kg * 0.5 kg CO2e/kg = 0.206 kg CO2e/unit</w:t>
      </w:r>
    </w:p>
    <w:p>
      <w:pPr>
        <w:numPr>
          <w:ilvl w:val="0"/>
          <w:numId w:val="1016"/>
        </w:numPr>
        <w:pStyle w:val="Compact"/>
      </w:pPr>
      <w:r>
        <w:t xml:space="preserve">Circular/Take-back Programs: The existence of \'oqlhinjvdp\' (Assumed: robust take-back program) supports higher recycling rates and potential for future material circularity, implicitly reducing the need for virgin materials in subsequent product cycles. This is captured by the high recyclability percentage and the "cut-off" approach which assigns emissions to the user of secondary material.</w:t>
      </w:r>
    </w:p>
    <w:p>
      <w:pPr>
        <w:pStyle w:val="FirstParagraph"/>
      </w:pPr>
      <w:r>
        <w:rPr>
          <w:bCs/>
          <w:b/>
        </w:rPr>
        <w:t xml:space="preserve">Total End-of-Life Emissions (Scope 3): 0.096 + 0.206 = 0.302 kg CO2e/unit</w:t>
      </w:r>
    </w:p>
    <w:bookmarkEnd w:id="42"/>
    <w:bookmarkStart w:id="44" w:name="X7a3c91ea1acee132d1fc9adc99704c7a9c199d5"/>
    <w:p>
      <w:pPr>
        <w:pStyle w:val="Heading3"/>
      </w:pPr>
      <w:r>
        <w:t xml:space="preserve">4.6. Summary of Emissions by Lifecycle Stage and Scope</w:t>
      </w:r>
    </w:p>
    <w:bookmarkStart w:id="43" w:name="Xd50503a740651cf86e50e50dc093612d55c5d3c"/>
    <w:p>
      <w:pPr>
        <w:pStyle w:val="Heading4"/>
      </w:pPr>
      <w:r>
        <w:t xml:space="preserve">Table 2: Product Carbon Footprint Summary for mzwuijkxoh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13.23</w:t>
            </w:r>
          </w:p>
        </w:tc>
        <w:tc>
          <w:tcPr/>
          <w:p>
            <w:pPr>
              <w:pStyle w:val="Compact"/>
              <w:jc w:val="left"/>
            </w:pPr>
            <w:r>
              <w:t xml:space="preserve">37.31%</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5.85</w:t>
            </w:r>
          </w:p>
        </w:tc>
        <w:tc>
          <w:tcPr/>
          <w:p>
            <w:pPr>
              <w:pStyle w:val="Compact"/>
              <w:jc w:val="left"/>
            </w:pPr>
            <w:r>
              <w:t xml:space="preserve">16.50%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0.60</w:t>
            </w:r>
          </w:p>
        </w:tc>
        <w:tc>
          <w:tcPr/>
          <w:p>
            <w:pPr>
              <w:pStyle w:val="Compact"/>
              <w:jc w:val="left"/>
            </w:pPr>
            <w:r>
              <w:t xml:space="preserve">1.69%</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0.435</w:t>
            </w:r>
          </w:p>
        </w:tc>
        <w:tc>
          <w:tcPr/>
          <w:p>
            <w:pPr>
              <w:pStyle w:val="Compact"/>
              <w:jc w:val="left"/>
            </w:pPr>
            <w:r>
              <w:t xml:space="preserve">1.23%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35.25%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0.302</w:t>
            </w:r>
          </w:p>
        </w:tc>
        <w:tc>
          <w:tcPr/>
          <w:p>
            <w:pPr>
              <w:pStyle w:val="Compact"/>
              <w:jc w:val="left"/>
            </w:pPr>
            <w:r>
              <w:t xml:space="preserve">0.85%</w:t>
            </w:r>
          </w:p>
        </w:tc>
      </w:tr>
      <w:tr>
        <w:tc>
          <w:tcPr>
            <w:gridSpan w:val="2"/>
          </w:tcPr>
          <w:p>
            <w:pPr>
              <w:pStyle w:val="Compact"/>
              <w:jc w:val="left"/>
            </w:pPr>
            <w:r>
              <w:rPr>
                <w:bCs/>
                <w:b/>
              </w:rPr>
              <w:t xml:space="preserve">TOTAL PRODUCT CARBON FOOTPRINT</w:t>
            </w:r>
          </w:p>
        </w:tc>
        <w:tc>
          <w:tcPr/>
          <w:p>
            <w:pPr>
              <w:pStyle w:val="Compact"/>
              <w:jc w:val="left"/>
            </w:pPr>
            <w:r>
              <w:rPr>
                <w:bCs/>
                <w:b/>
              </w:rPr>
              <w:t xml:space="preserve">35.417 kg CO2e/unit</w:t>
            </w:r>
          </w:p>
        </w:tc>
        <w:tc>
          <w:tcPr/>
          <w:p>
            <w:pPr>
              <w:pStyle w:val="Compact"/>
              <w:jc w:val="left"/>
            </w:pPr>
            <w:r>
              <w:rPr>
                <w:bCs/>
                <w:b/>
              </w:rPr>
              <w:t xml:space="preserve">100%</w:t>
            </w:r>
          </w:p>
        </w:tc>
      </w:tr>
      <w:tr>
        <w:tc>
          <w:tcPr>
            <w:gridSpan w:val="2"/>
          </w:tcPr>
          <w:p>
            <w:pPr>
              <w:pStyle w:val="Compact"/>
              <w:jc w:val="left"/>
            </w:pPr>
            <w:r>
              <w:rPr>
                <w:bCs/>
                <w:b/>
              </w:rPr>
              <w:t xml:space="preserve">Total Scope 1 Emissions</w:t>
            </w:r>
          </w:p>
        </w:tc>
        <w:tc>
          <w:tcPr/>
          <w:p>
            <w:pPr>
              <w:pStyle w:val="Compact"/>
              <w:jc w:val="left"/>
            </w:pPr>
            <w:r>
              <w:t xml:space="preserve">0.00</w:t>
            </w:r>
          </w:p>
        </w:tc>
        <w:tc>
          <w:tcPr/>
          <w:p>
            <w:pPr>
              <w:pStyle w:val="Compact"/>
              <w:jc w:val="left"/>
            </w:pPr>
            <w:r>
              <w:t xml:space="preserve">0.00%</w:t>
            </w:r>
          </w:p>
        </w:tc>
      </w:tr>
      <w:tr>
        <w:tc>
          <w:tcPr>
            <w:gridSpan w:val="2"/>
          </w:tcPr>
          <w:p>
            <w:pPr>
              <w:pStyle w:val="Compact"/>
              <w:jc w:val="left"/>
            </w:pPr>
            <w:r>
              <w:rPr>
                <w:bCs/>
                <w:b/>
              </w:rPr>
              <w:t xml:space="preserve">Total Scope 2 Emissions</w:t>
            </w:r>
          </w:p>
        </w:tc>
        <w:tc>
          <w:tcPr/>
          <w:p>
            <w:pPr>
              <w:pStyle w:val="Compact"/>
              <w:jc w:val="left"/>
            </w:pPr>
            <w:r>
              <w:t xml:space="preserve">5.85</w:t>
            </w:r>
          </w:p>
        </w:tc>
        <w:tc>
          <w:tcPr/>
          <w:p>
            <w:pPr>
              <w:pStyle w:val="Compact"/>
              <w:jc w:val="left"/>
            </w:pPr>
            <w:r>
              <w:t xml:space="preserve">16.50%</w:t>
            </w:r>
          </w:p>
        </w:tc>
      </w:tr>
      <w:tr>
        <w:tc>
          <w:tcPr>
            <w:gridSpan w:val="2"/>
          </w:tcPr>
          <w:p>
            <w:pPr>
              <w:pStyle w:val="Compact"/>
              <w:jc w:val="left"/>
            </w:pPr>
            <w:r>
              <w:rPr>
                <w:bCs/>
                <w:b/>
              </w:rPr>
              <w:t xml:space="preserve">Total Scope 3 Emissions</w:t>
            </w:r>
          </w:p>
        </w:tc>
        <w:tc>
          <w:tcPr/>
          <w:p>
            <w:pPr>
              <w:pStyle w:val="Compact"/>
              <w:jc w:val="left"/>
            </w:pPr>
            <w:r>
              <w:t xml:space="preserve">29.567</w:t>
            </w:r>
          </w:p>
        </w:tc>
        <w:tc>
          <w:tcPr/>
          <w:p>
            <w:pPr>
              <w:pStyle w:val="Compact"/>
              <w:jc w:val="left"/>
            </w:pPr>
            <w:r>
              <w:t xml:space="preserve">83.50%</w:t>
            </w:r>
          </w:p>
        </w:tc>
      </w:tr>
    </w:tbl>
    <w:p>
      <w:pPr>
        <w:pStyle w:val="BodyText"/>
      </w:pPr>
      <w:r>
        <w:rPr>
          <w:bCs/>
          <w:b/>
        </w:rPr>
        <w:t xml:space="preserve">Note on Scope 3 Coverage:</w:t>
      </w:r>
      <w:r>
        <w:t xml:space="preserve"> </w:t>
      </w:r>
      <w:r>
        <w:t xml:space="preserve">Based on the detailed inclusion of material production, upstream and downstream transportation, use phase, and end-of-life, the Scope 3 emissions calculated here represent a substantial portion (83.50%) of the total PCF. While the target is 95% coverage, the current calculation covers all explicitly provided parameters and primary known value chain activities. Further efforts would focus on identifying and quantifying minor Scope 3 categories to reach the 95% threshold.</w:t>
      </w:r>
    </w:p>
    <w:p>
      <w:r>
        <w:pict>
          <v:rect style="width:0;height:1.5pt" o:hralign="center" o:hrstd="t" o:hr="t"/>
        </w:pict>
      </w:r>
    </w:p>
    <w:bookmarkEnd w:id="43"/>
    <w:bookmarkEnd w:id="44"/>
    <w:bookmarkEnd w:id="45"/>
    <w:bookmarkStart w:id="50" w:name="review-report"/>
    <w:p>
      <w:pPr>
        <w:pStyle w:val="Heading2"/>
      </w:pPr>
      <w:r>
        <w:t xml:space="preserve">5. Review &amp; Report</w:t>
      </w:r>
    </w:p>
    <w:bookmarkStart w:id="46" w:name="hotspot-identification"/>
    <w:p>
      <w:pPr>
        <w:pStyle w:val="Heading3"/>
      </w:pPr>
      <w:r>
        <w:t xml:space="preserve">5.1. Hotspot Identification</w:t>
      </w:r>
    </w:p>
    <w:p>
      <w:pPr>
        <w:pStyle w:val="FirstParagraph"/>
      </w:pPr>
      <w:r>
        <w:t xml:space="preserve">The PCF analysis reveals the following major emission hotspots for mzwuijkxoh:</w:t>
      </w:r>
    </w:p>
    <w:p>
      <w:pPr>
        <w:numPr>
          <w:ilvl w:val="0"/>
          <w:numId w:val="1017"/>
        </w:numPr>
        <w:pStyle w:val="Compact"/>
      </w:pPr>
      <w:r>
        <w:rPr>
          <w:bCs/>
          <w:b/>
        </w:rPr>
        <w:t xml:space="preserve">Raw Material Acquisition &amp; Pre-processing (37.31%):</w:t>
      </w:r>
      <w:r>
        <w:t xml:space="preserve"> </w:t>
      </w:r>
      <w:r>
        <w:t xml:space="preserve">The sourcing and production of materials, particularly specialized components like the Lithium-ion Battery, ABS Plastic, and Aluminum Frame, dominate the upstream footprint. This highlights the importance of sustainable material choices and engaging with suppliers on their decarbonization efforts.</w:t>
      </w:r>
    </w:p>
    <w:p>
      <w:pPr>
        <w:numPr>
          <w:ilvl w:val="0"/>
          <w:numId w:val="1017"/>
        </w:numPr>
        <w:pStyle w:val="Compact"/>
      </w:pPr>
      <w:r>
        <w:rPr>
          <w:bCs/>
          <w:b/>
        </w:rPr>
        <w:t xml:space="preserve">Use Phase (35.25%):</w:t>
      </w:r>
      <w:r>
        <w:t xml:space="preserve"> </w:t>
      </w:r>
      <w:r>
        <w:t xml:space="preserve">The energy consumption during the product\'s 5-year lifespan is a significant contributor, accounting for over a third of the total footprint. This underscores the need for energy-efficient design and considering the energy mix of regions where the product is primarily used.</w:t>
      </w:r>
    </w:p>
    <w:p>
      <w:pPr>
        <w:numPr>
          <w:ilvl w:val="0"/>
          <w:numId w:val="1017"/>
        </w:numPr>
        <w:pStyle w:val="Compact"/>
      </w:pPr>
      <w:r>
        <w:rPr>
          <w:bCs/>
          <w:b/>
        </w:rPr>
        <w:t xml:space="preserve">Production (Scope 2 - 16.50%):</w:t>
      </w:r>
      <w:r>
        <w:t xml:space="preserve"> </w:t>
      </w:r>
      <w:r>
        <w:t xml:space="preserve">While fkysnyklzw utilizes 30% renewable energy, the remaining reliance on the Chinese grid mix still contributes a notable portion. Increasing renewable energy procurement at manufacturing facilities in China or investing in on-site renewables could further reduce this impact.</w:t>
      </w:r>
    </w:p>
    <w:p>
      <w:pPr>
        <w:numPr>
          <w:ilvl w:val="0"/>
          <w:numId w:val="1017"/>
        </w:numPr>
        <w:pStyle w:val="Compact"/>
      </w:pPr>
      <w:r>
        <w:rPr>
          <w:bCs/>
          <w:b/>
        </w:rPr>
        <w:t xml:space="preserve">Transportation (2.92%):</w:t>
      </w:r>
      <w:r>
        <w:t xml:space="preserve"> </w:t>
      </w:r>
      <w:r>
        <w:t xml:space="preserve">While not the largest hotspot, both upstream and downstream logistics contribute. Optimization of transport modes, routes, and load factors, especially for long-distance and last-mile deliveries, can yield reductions.</w:t>
      </w:r>
    </w:p>
    <w:bookmarkEnd w:id="46"/>
    <w:bookmarkStart w:id="47" w:name="data-reliability-and-limitations"/>
    <w:p>
      <w:pPr>
        <w:pStyle w:val="Heading3"/>
      </w:pPr>
      <w:r>
        <w:t xml:space="preserve">5.2. Data Reliability and Limitations</w:t>
      </w:r>
    </w:p>
    <w:p>
      <w:pPr>
        <w:pStyle w:val="FirstParagraph"/>
      </w:pPr>
      <w:r>
        <w:t xml:space="preserve">The reliability of this PCF is influenced by the following factors:</w:t>
      </w:r>
    </w:p>
    <w:p>
      <w:pPr>
        <w:numPr>
          <w:ilvl w:val="0"/>
          <w:numId w:val="1018"/>
        </w:numPr>
        <w:pStyle w:val="Compact"/>
      </w:pPr>
      <w:r>
        <w:rPr>
          <w:bCs/>
          <w:b/>
        </w:rPr>
        <w:t xml:space="preserve">Primary Data:</w:t>
      </w:r>
      <w:r>
        <w:t xml:space="preserve"> </w:t>
      </w:r>
      <w:r>
        <w:t xml:space="preserve">The report utilizes the provided parameters for BOM (conceptually), energy intensity, lifespan, and recyclability. The specific values of \'nmqeyzzl\', \'fmdyhntgek\', \'mzpwkymxtr\', \'hlhthngmjz\', \'quwtungjmo\', \'nzfqfwgeet\', \'zdwyqrkhyl\', \'oqlhinjvdp\', \'Select Mode\', and \'Delivery Type\' were placeholder strings. For the calculations, plausible and representative numerical values were assumed, as explicitly stated in Section 2. The accuracy of the report is directly dependent on these assumed values reflecting actual operational data for fkysnyklzw.</w:t>
      </w:r>
    </w:p>
    <w:p>
      <w:pPr>
        <w:numPr>
          <w:ilvl w:val="0"/>
          <w:numId w:val="1018"/>
        </w:numPr>
        <w:pStyle w:val="Compact"/>
      </w:pPr>
      <w:r>
        <w:rPr>
          <w:bCs/>
          <w:b/>
        </w:rPr>
        <w:t xml:space="preserve">Secondary Data (Emission Factors):</w:t>
      </w:r>
      <w:r>
        <w:t xml:space="preserve"> </w:t>
      </w:r>
      <w:r>
        <w:t xml:space="preserve">Industry-standard emission factors from reputable databases such as Ecoinvent and DEFRA have been used where primary data was unavailable. These factors represent average conditions and may not perfectly reflect the specific processes or technologies used by fkysnyklzw\'s suppliers or downstream partners.</w:t>
      </w:r>
    </w:p>
    <w:p>
      <w:pPr>
        <w:numPr>
          <w:ilvl w:val="0"/>
          <w:numId w:val="1018"/>
        </w:numPr>
        <w:pStyle w:val="Compact"/>
      </w:pPr>
      <w:r>
        <w:rPr>
          <w:bCs/>
          <w:b/>
        </w:rPr>
        <w:t xml:space="preserve">System Boundary:</w:t>
      </w:r>
      <w:r>
        <w:t xml:space="preserve"> </w:t>
      </w:r>
      <w:r>
        <w:t xml:space="preserve">While a comprehensive cradle-to-grave approach was adopted, certain minor Scope 3 categories (e.g., business travel, employee commuting, capital goods not directly tied to product material) might not be fully captured without more extensive data collection.</w:t>
      </w:r>
    </w:p>
    <w:p>
      <w:pPr>
        <w:numPr>
          <w:ilvl w:val="0"/>
          <w:numId w:val="1018"/>
        </w:numPr>
        <w:pStyle w:val="Compact"/>
      </w:pPr>
      <w:r>
        <w:rPr>
          <w:bCs/>
          <w:b/>
        </w:rPr>
        <w:t xml:space="preserve">LSR Standard Application:</w:t>
      </w:r>
      <w:r>
        <w:t xml:space="preserve"> </w:t>
      </w:r>
      <w:r>
        <w:t xml:space="preserve">As the LSR Standard\'s guidance is still emerging (Q2 2026), and no specific land-use or carbon removal data was provided, its application in this report is currently conceptual. Future iterations with specific land-related data would allow for quantitative integration.</w:t>
      </w:r>
    </w:p>
    <w:bookmarkEnd w:id="47"/>
    <w:bookmarkStart w:id="49" w:name="recommendations-for-fkysnyklzw"/>
    <w:p>
      <w:pPr>
        <w:pStyle w:val="Heading3"/>
      </w:pPr>
      <w:r>
        <w:t xml:space="preserve">5.3. Recommendations for fkysnyklzw</w:t>
      </w:r>
    </w:p>
    <w:p>
      <w:pPr>
        <w:numPr>
          <w:ilvl w:val="0"/>
          <w:numId w:val="1019"/>
        </w:numPr>
        <w:pStyle w:val="Compact"/>
      </w:pPr>
      <w:r>
        <w:rPr>
          <w:bCs/>
          <w:b/>
        </w:rPr>
        <w:t xml:space="preserve">Material Decarbonization:</w:t>
      </w:r>
      <w:r>
        <w:t xml:space="preserve"> </w:t>
      </w:r>
      <w:r>
        <w:t xml:space="preserve">Engage with key suppliers to obtain primary data for high-impact materials and explore opportunities for sourcing lower-carbon alternatives or materials with higher recycled content.</w:t>
      </w:r>
    </w:p>
    <w:p>
      <w:pPr>
        <w:numPr>
          <w:ilvl w:val="0"/>
          <w:numId w:val="1019"/>
        </w:numPr>
        <w:pStyle w:val="Compact"/>
      </w:pPr>
      <w:r>
        <w:rPr>
          <w:bCs/>
          <w:b/>
        </w:rPr>
        <w:t xml:space="preserve">Energy Efficiency &amp; Renewables in Use Phase:</w:t>
      </w:r>
      <w:r>
        <w:t xml:space="preserve"> </w:t>
      </w:r>
      <w:r>
        <w:t xml:space="preserve">Invest in R&amp;D for more energy-efficient product designs. Additionally, providing users with information on renewable energy options or partnering with clean energy providers could help reduce the downstream use phase impact.</w:t>
      </w:r>
    </w:p>
    <w:p>
      <w:pPr>
        <w:numPr>
          <w:ilvl w:val="0"/>
          <w:numId w:val="1019"/>
        </w:numPr>
        <w:pStyle w:val="Compact"/>
      </w:pPr>
      <w:r>
        <w:rPr>
          <w:bCs/>
          <w:b/>
        </w:rPr>
        <w:t xml:space="preserve">Manufacturing Energy Transition:</w:t>
      </w:r>
      <w:r>
        <w:t xml:space="preserve"> </w:t>
      </w:r>
      <w:r>
        <w:t xml:space="preserve">Continue to increase the share of renewable electricity at manufacturing facilities in China. Explore Power Purchase Agreements (PPAs) for renewable energy or invest in on-site renewable generation.</w:t>
      </w:r>
    </w:p>
    <w:p>
      <w:pPr>
        <w:numPr>
          <w:ilvl w:val="0"/>
          <w:numId w:val="1019"/>
        </w:numPr>
        <w:pStyle w:val="Compact"/>
      </w:pPr>
      <w:r>
        <w:rPr>
          <w:bCs/>
          <w:b/>
        </w:rPr>
        <w:t xml:space="preserve">Logistics Optimization:</w:t>
      </w:r>
      <w:r>
        <w:t xml:space="preserve"> </w:t>
      </w:r>
      <w:r>
        <w:t xml:space="preserve">Optimize transport routes, consolidate shipments, and consider shifting to lower-emission transport modes (e.g., rail or sea over road for longer distances where feasible) for both inbound materials and outbound distribution.</w:t>
      </w:r>
    </w:p>
    <w:p>
      <w:pPr>
        <w:numPr>
          <w:ilvl w:val="0"/>
          <w:numId w:val="1019"/>
        </w:numPr>
        <w:pStyle w:val="Compact"/>
      </w:pPr>
      <w:r>
        <w:rPr>
          <w:bCs/>
          <w:b/>
        </w:rPr>
        <w:t xml:space="preserve">Data Refinement:</w:t>
      </w:r>
      <w:r>
        <w:t xml:space="preserve"> </w:t>
      </w:r>
      <w:r>
        <w:t xml:space="preserve">Collect more granular, primary data for all lifecycle stages, especially for Scope 3 categories, to enhance the accuracy and robustness of future PCF analyses and achieve the 95% Scope 3 coverage target.</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mzwuijkxoh</dc:title>
  <dc:creator/>
  <dc:description>High-detail Product Carbon Footprint (PCF) analysis for mzwuijkxoh, adhering to GHG Protocol standards and 2026 LSR update. Prepared by Senior Sustainability Consultant rdpiffrkxi for fkysnyklzw.</dc:description>
  <dc:language>en</dc:language>
  <cp:keywords/>
  <dcterms:created xsi:type="dcterms:W3CDTF">2026-05-30T22:04:31Z</dcterms:created>
  <dcterms:modified xsi:type="dcterms:W3CDTF">2026-05-30T22:04:31Z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