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mzseikgrxv</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w:t>
      </w:r>
      <w:r>
        <w:t xml:space="preserve"> </w:t>
      </w:r>
      <w:r>
        <w:rPr>
          <w:bCs/>
          <w:b/>
        </w:rPr>
        <w:t xml:space="preserve">mzseikgrxv</w:t>
      </w:r>
    </w:p>
    <w:p>
      <w:pPr>
        <w:pStyle w:val="BodyText"/>
      </w:pPr>
      <w:r>
        <w:t xml:space="preserve">Protocol Data (Accounting Standard): GHG Protocol</w:t>
      </w:r>
    </w:p>
    <w:p>
      <w:pPr>
        <w:pStyle w:val="BodyText"/>
      </w:pPr>
      <w:r>
        <w:t xml:space="preserve">Name of the Company:</w:t>
      </w:r>
      <w:r>
        <w:t xml:space="preserve"> </w:t>
      </w:r>
      <w:r>
        <w:rPr>
          <w:bCs/>
          <w:b/>
        </w:rPr>
        <w:t xml:space="preserve">hnenlzjfzz</w:t>
      </w:r>
    </w:p>
    <w:p>
      <w:pPr>
        <w:pStyle w:val="BodyText"/>
      </w:pPr>
      <w:r>
        <w:t xml:space="preserve">Senior Sustainability Consultant:</w:t>
      </w:r>
      <w:r>
        <w:t xml:space="preserve"> </w:t>
      </w:r>
      <w:r>
        <w:rPr>
          <w:bCs/>
          <w:b/>
        </w:rPr>
        <w:t xml:space="preserve">oyzyfonmvr</w:t>
      </w:r>
    </w:p>
    <w:p>
      <w:pPr>
        <w:pStyle w:val="BodyText"/>
      </w:pPr>
      <w:r>
        <w:t xml:space="preserve">Disclaimer: This report is generated based on available data, industry standards, and illustrative numerical values derived from the provided parameters. Actual results may vary with primary data input and specific operational details.</w:t>
      </w:r>
    </w:p>
    <w:p>
      <w:pPr>
        <w:pStyle w:val="BodyText"/>
      </w:pPr>
      <w:r>
        <w:t xml:space="preserve">Generated Date: May 27, 2026</w:t>
      </w:r>
    </w:p>
    <w:bookmarkEnd w:id="20"/>
    <w:p>
      <w:r>
        <w:pict>
          <v:rect style="width:0;height:1.5pt" o:hralign="center" o:hrstd="t" o:hr="t"/>
        </w:pict>
      </w:r>
    </w:p>
    <w:bookmarkStart w:id="21" w:name="Xe0b33b485c097b10445e21d04454a16861081c6"/>
    <w:p>
      <w:pPr>
        <w:pStyle w:val="Heading1"/>
      </w:pPr>
      <w:r>
        <w:t xml:space="preserve">Product Carbon Footprint Report: mzseikgrxv</w:t>
      </w:r>
    </w:p>
    <w:p>
      <w:pPr>
        <w:pStyle w:val="FirstParagraph"/>
      </w:pPr>
      <w:r>
        <w:rPr>
          <w:bCs/>
          <w:b/>
        </w:rPr>
        <w:t xml:space="preserve">Generated Date:</w:t>
      </w:r>
      <w:r>
        <w:t xml:space="preserve"> </w:t>
      </w:r>
      <w:r>
        <w:t xml:space="preserve">May 27, 2026</w:t>
      </w:r>
    </w:p>
    <w:p>
      <w:pPr>
        <w:pStyle w:val="BodyText"/>
      </w:pPr>
      <w:r>
        <w:rPr>
          <w:bCs/>
          <w:b/>
        </w:rPr>
        <w:t xml:space="preserve">Senior Sustainability Consultant:</w:t>
      </w:r>
      <w:r>
        <w:t xml:space="preserve"> </w:t>
      </w:r>
      <w:r>
        <w:t xml:space="preserve">oyzyfonmvr</w:t>
      </w:r>
    </w:p>
    <w:p>
      <w:pPr>
        <w:pStyle w:val="BodyText"/>
      </w:pPr>
      <w:r>
        <w:rPr>
          <w:bCs/>
          <w:b/>
        </w:rPr>
        <w:t xml:space="preserve">Company:</w:t>
      </w:r>
      <w:r>
        <w:t xml:space="preserve"> </w:t>
      </w:r>
      <w:r>
        <w:t xml:space="preserve">hnenlzjfzz</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mzseikgrxv, manufactured by hnenlzjfzz, conducted by oyzyfonmvr, a Senior Sustainability Consultant specializing in GHG Protocol. The analysis adheres strictly to the Greenhouse Gas (GHG) Protocol standards, incorporating the latest 2026 Land Sector and Removals (LSR) Standard updates and the proposed 95% Scope 3 coverage requirements. The functional unit for this study is 1.0 unit of mzseikgrxv, with a system boundary set at \'factory_gate\' for production, while considering upstream and downstream Scope 3 emissions. The geographic scope focuses on final production in China with a supply chain emphasis on Europe.</w:t>
      </w:r>
    </w:p>
    <w:p>
      <w:pPr>
        <w:pStyle w:val="BodyText"/>
      </w:pPr>
      <w:r>
        <w:t xml:space="preserve">The PCF quantifies the total greenhouse gas emissions associated with the product\'s lifecycle, from raw material extraction to end-of-life, expressed in kilograms of carbon dioxide equivalent (kg CO2e). Key hotspots identified in this analysis, based on the illustrative data, include the use phase due to energy consumption, followed by raw material acquisition and manufacturing energy. Recommendations for emission reduction are provided, focusing on these high-impact areas.</w:t>
      </w:r>
    </w:p>
    <w:bookmarkEnd w:id="22"/>
    <w:p>
      <w:r>
        <w:pict>
          <v:rect style="width:0;height:1.5pt" o:hralign="center" o:hrstd="t" o:hr="t"/>
        </w:pict>
      </w:r>
    </w:p>
    <w:bookmarkStart w:id="31" w:name="methodology-and-scope-definition"/>
    <w:p>
      <w:pPr>
        <w:pStyle w:val="Heading2"/>
      </w:pPr>
      <w:r>
        <w:t xml:space="preserve">1. Methodology and Scope Definition</w:t>
      </w:r>
    </w:p>
    <w:p>
      <w:pPr>
        <w:pStyle w:val="FirstParagraph"/>
      </w:pPr>
      <w:r>
        <w:t xml:space="preserve">This PCF analysis follows a five-step methodology in line with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accounting-standard"/>
    <w:p>
      <w:pPr>
        <w:pStyle w:val="Heading3"/>
      </w:pPr>
      <w:r>
        <w:t xml:space="preserve">1.1. Accounting Standard</w:t>
      </w:r>
    </w:p>
    <w:p>
      <w:pPr>
        <w:pStyle w:val="FirstParagraph"/>
      </w:pPr>
      <w:r>
        <w:t xml:space="preserve">This report is prepared in accordance with the</w:t>
      </w:r>
      <w:r>
        <w:t xml:space="preserve"> </w:t>
      </w:r>
      <w:r>
        <w:rPr>
          <w:bCs/>
          <w:b/>
        </w:rPr>
        <w:t xml:space="preserve">GHG Protocol</w:t>
      </w:r>
      <w:r>
        <w:t xml:space="preserve">, the most widely used international accounting tool for quantifying greenhouse gas emissions. Emissions are categorized into Scope 1 (direct emissions from owned or controlled sources), Scope 2 (indirect emissions from the generation of purchased energy), and Scope 3 (all other indirect emissions that occur in a company’s value chain).</w:t>
      </w:r>
    </w:p>
    <w:bookmarkEnd w:id="23"/>
    <w:bookmarkStart w:id="24" w:name="functional-unit"/>
    <w:p>
      <w:pPr>
        <w:pStyle w:val="Heading3"/>
      </w:pPr>
      <w:r>
        <w:t xml:space="preserve">1.2. Functional Unit</w:t>
      </w:r>
    </w:p>
    <w:p>
      <w:pPr>
        <w:pStyle w:val="FirstParagraph"/>
      </w:pPr>
      <w:r>
        <w:t xml:space="preserve">The functional unit for this Product Carbon Footprint is defined as:</w:t>
      </w:r>
      <w:r>
        <w:t xml:space="preserve"> </w:t>
      </w:r>
      <w:r>
        <w:rPr>
          <w:bCs/>
          <w:b/>
        </w:rPr>
        <w:t xml:space="preserve">1.0 unit of mzseikgrxv</w:t>
      </w:r>
      <w:r>
        <w:t xml:space="preserve">.</w:t>
      </w:r>
    </w:p>
    <w:bookmarkEnd w:id="24"/>
    <w:bookmarkStart w:id="25" w:name="system-boundary"/>
    <w:p>
      <w:pPr>
        <w:pStyle w:val="Heading3"/>
      </w:pPr>
      <w:r>
        <w:t xml:space="preserve">1.3. System Boundary</w:t>
      </w:r>
    </w:p>
    <w:p>
      <w:pPr>
        <w:pStyle w:val="FirstParagraph"/>
      </w:pPr>
      <w:r>
        <w:t xml:space="preserve">The system boundary for the direct manufacturing process is set at</w:t>
      </w:r>
      <w:r>
        <w:t xml:space="preserve"> </w:t>
      </w:r>
      <w:r>
        <w:rPr>
          <w:bCs/>
          <w:b/>
        </w:rPr>
        <w:t xml:space="preserve">factory_gate</w:t>
      </w:r>
      <w:r>
        <w:t xml:space="preserve">, encompassing all processes from the receipt of raw materials at the factory to the point the finished product leaves the factory premises. However, in line with GHG Protocol standards for product footprints, this analysis extends beyond the \'factory_gate\' to include all relevant upstream (cradle-to-gate) and downstream (gate-to-grave) activities within the product\'s life cycle.</w:t>
      </w:r>
    </w:p>
    <w:bookmarkEnd w:id="25"/>
    <w:bookmarkStart w:id="26" w:name="geographic-scope"/>
    <w:p>
      <w:pPr>
        <w:pStyle w:val="Heading3"/>
      </w:pPr>
      <w:r>
        <w:t xml:space="preserve">1.4.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manufacturing operations are in China, while a significant portion of upstream material sourcing and/or downstream distribution/use may relate to Europe.</w:t>
      </w:r>
    </w:p>
    <w:bookmarkEnd w:id="26"/>
    <w:bookmarkStart w:id="27" w:name="allocation"/>
    <w:p>
      <w:pPr>
        <w:pStyle w:val="Heading3"/>
      </w:pPr>
      <w:r>
        <w:t xml:space="preserve">1.5. Allocation</w:t>
      </w:r>
    </w:p>
    <w:p>
      <w:pPr>
        <w:pStyle w:val="FirstParagraph"/>
      </w:pPr>
      <w:r>
        <w:t xml:space="preserve">Allocation of emissions for multi-output processes is primarily conducted using a mass-based approach where appropriate. For material recycling, the avoided burden approach is utilized to account for the benefits of displacing virgin material production.</w:t>
      </w:r>
    </w:p>
    <w:bookmarkEnd w:id="27"/>
    <w:bookmarkStart w:id="30" w:name="ghg-protocol-updates-integration"/>
    <w:p>
      <w:pPr>
        <w:pStyle w:val="Heading3"/>
      </w:pPr>
      <w:r>
        <w:t xml:space="preserve">1.6. 2026 GHG Protocol Updates Integration</w:t>
      </w:r>
    </w:p>
    <w:bookmarkStart w:id="28" w:name="land-sector-and-removals-lsr-standard"/>
    <w:p>
      <w:pPr>
        <w:pStyle w:val="Heading4"/>
      </w:pPr>
      <w:r>
        <w:t xml:space="preserve">1.6.1. Land Sector and Removals (LSR) Standard</w:t>
      </w:r>
    </w:p>
    <w:p>
      <w:pPr>
        <w:pStyle w:val="FirstParagraph"/>
      </w:pPr>
      <w:r>
        <w:t xml:space="preserve">The GHG Protocol Land Sector and Removals (LSR) Standard, published on January 30, 2026, and effective January 1, 2027, has been considered in this analysis. This standard provides accounting requirements and guidance for entities with significant land sector activities and those that choose to report CO2 removals or CO2 capture with geologic storage. While specific land-use change data for mzseikgrxv\'s components were not provided, the principles of the LSR Standard are acknowledged, and where applicable, emission factors used implicitly account for land use impacts. It is noted that the current version of the LSR Standard does not cover forest carbon accounting.</w:t>
      </w:r>
    </w:p>
    <w:bookmarkEnd w:id="28"/>
    <w:bookmarkStart w:id="29" w:name="scope-3-compliance-95-coverage"/>
    <w:p>
      <w:pPr>
        <w:pStyle w:val="Heading4"/>
      </w:pPr>
      <w:r>
        <w:t xml:space="preserve">1.6.2. Scope 3 Compliance (95% Coverage)</w:t>
      </w:r>
    </w:p>
    <w:p>
      <w:pPr>
        <w:pStyle w:val="FirstParagraph"/>
      </w:pPr>
      <w:r>
        <w:t xml:space="preserve">The analysis aims for a comprehensive Scope 3 reporting, adhering to the proposed 2026 GHG Protocol requirement of at least 95% coverage for total required Scope 3 emissions. This means identifying and quantifying all material upstream and downstream emissions categories, ensuring exclusions do not exceed 5% of required Scope 3 emissions. The methodology also supports mandatory data disaggregation by source type (primary vs. secondary) to enhance transparency and data quality, aligning with the 2026 proposed updates.</w:t>
      </w:r>
    </w:p>
    <w:bookmarkEnd w:id="29"/>
    <w:bookmarkEnd w:id="30"/>
    <w:bookmarkEnd w:id="31"/>
    <w:p>
      <w:r>
        <w:pict>
          <v:rect style="width:0;height:1.5pt" o:hralign="center" o:hrstd="t" o:hr="t"/>
        </w:pict>
      </w:r>
    </w:p>
    <w:bookmarkStart w:id="38" w:name="lifecycle-mapping-and-data-collection"/>
    <w:p>
      <w:pPr>
        <w:pStyle w:val="Heading2"/>
      </w:pPr>
      <w:r>
        <w:t xml:space="preserve">2. Lifecycle Mapping and Data Collection</w:t>
      </w:r>
    </w:p>
    <w:p>
      <w:pPr>
        <w:pStyle w:val="FirstParagraph"/>
      </w:pPr>
      <w:r>
        <w:t xml:space="preserve">The lifecycle of mzseikgrxv is mapped across five main stages: Raw Material Acquisition, Manufacturing, Transportation, Use Phase, and End-of-Life. Data collection involved both primary (provided parameters) and secondary (industry-standard emission factors) data points.</w:t>
      </w:r>
    </w:p>
    <w:bookmarkStart w:id="33" w:name="X6ec140b26f7c8a3ee2d2f5bea64a02aa2fb9611"/>
    <w:p>
      <w:pPr>
        <w:pStyle w:val="Heading3"/>
      </w:pPr>
      <w:r>
        <w:t xml:space="preserve">2.1. Detailed Bill of Materials (BOM) - mgwnssof</w:t>
      </w:r>
    </w:p>
    <w:p>
      <w:pPr>
        <w:pStyle w:val="FirstParagraph"/>
      </w:pPr>
      <w:r>
        <w:t xml:space="preserve">The provided \'Detailed Bill of Materials (BOM)\' parameter,</w:t>
      </w:r>
      <w:r>
        <w:t xml:space="preserve"> </w:t>
      </w:r>
      <w:r>
        <w:rPr>
          <w:bCs/>
          <w:b/>
        </w:rPr>
        <w:t xml:space="preserve">mgwnssof</w:t>
      </w:r>
      <w:r>
        <w:t xml:space="preserve">, is acknowledged. The requirement specifies that "The BOM data provided follows this format for each item: ID, Description, Category, Process, Qty, Unit, Emission Factor, Total Carbon. Ensure these specific values are used in your calculations." However, the input for this parameter was the generic string "mgwnssof" itself, rather than structured data. Therefore, for the purpose of this report and to illustrate the methodology as required, a hypothetical BOM consistent with the described format is presented below. In a real-world scenario, the actual detailed data for \'mgwnssof\' would be parsed and utilized for precise calculations.</w:t>
      </w:r>
    </w:p>
    <w:bookmarkStart w:id="32" w:name="X21c6614e0848331fcf9e814ad0630a9f4db0865"/>
    <w:p>
      <w:pPr>
        <w:pStyle w:val="Heading4"/>
      </w:pPr>
      <w:r>
        <w:t xml:space="preserve">Table 1: Illustrative Bill of Materials for mzseikgrxv (Based on provided format for mgwnssof)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 (Illustrative, average plastic production)</w:t>
            </w:r>
          </w:p>
        </w:tc>
        <w:tc>
          <w:tcPr/>
          <w:p>
            <w:pPr>
              <w:pStyle w:val="Compact"/>
              <w:jc w:val="left"/>
            </w:pPr>
            <w:r>
              <w:t xml:space="preserve">0.70</w:t>
            </w:r>
          </w:p>
        </w:tc>
      </w:tr>
      <w:tr>
        <w:tc>
          <w:tcPr/>
          <w:p>
            <w:pPr>
              <w:pStyle w:val="Compact"/>
              <w:jc w:val="left"/>
            </w:pPr>
            <w:r>
              <w:t xml:space="preserve">M002</w:t>
            </w:r>
          </w:p>
        </w:tc>
        <w:tc>
          <w:tcPr/>
          <w:p>
            <w:pPr>
              <w:pStyle w:val="Compact"/>
              <w:jc w:val="left"/>
            </w:pPr>
            <w:r>
              <w:t xml:space="preserve">Metal Fasteners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 (Illustrative, average steel production)</w:t>
            </w:r>
          </w:p>
        </w:tc>
        <w:tc>
          <w:tcPr/>
          <w:p>
            <w:pPr>
              <w:pStyle w:val="Compact"/>
              <w:jc w:val="left"/>
            </w:pPr>
            <w:r>
              <w:t xml:space="preserve">0.075</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25.0 (Illustrative, high-impact electronics)</w:t>
            </w:r>
          </w:p>
        </w:tc>
        <w:tc>
          <w:tcPr/>
          <w:p>
            <w:pPr>
              <w:pStyle w:val="Compact"/>
              <w:jc w:val="left"/>
            </w:pPr>
            <w:r>
              <w:t xml:space="preserve">0.75</w:t>
            </w:r>
          </w:p>
        </w:tc>
      </w:tr>
      <w:tr>
        <w:tc>
          <w:tcPr>
            <w:gridSpan w:val="7"/>
          </w:tcPr>
          <w:p>
            <w:pPr>
              <w:pStyle w:val="Compact"/>
              <w:jc w:val="right"/>
            </w:pPr>
            <w:r>
              <w:t xml:space="preserve">Total Material Footprint (Illustrative):</w:t>
            </w:r>
          </w:p>
        </w:tc>
        <w:tc>
          <w:tcPr/>
          <w:p>
            <w:pPr>
              <w:pStyle w:val="Compact"/>
              <w:jc w:val="left"/>
            </w:pPr>
            <w:r>
              <w:t xml:space="preserve">1.525</w:t>
            </w:r>
          </w:p>
        </w:tc>
      </w:tr>
    </w:tbl>
    <w:p>
      <w:pPr>
        <w:pStyle w:val="BodyText"/>
      </w:pPr>
      <w:r>
        <w:t xml:space="preserve">Total product mass for calculations (based on illustrative BOM): 0.20 kg + 0.05 kg + 0.03 kg = 0.28 kg.</w:t>
      </w:r>
    </w:p>
    <w:bookmarkEnd w:id="32"/>
    <w:bookmarkEnd w:id="33"/>
    <w:bookmarkStart w:id="34" w:name="energy-inputs-manufacturing-phase"/>
    <w:p>
      <w:pPr>
        <w:pStyle w:val="Heading3"/>
      </w:pPr>
      <w:r>
        <w:t xml:space="preserve">2.2. Energy Inputs (Manufacturing Phase)</w:t>
      </w:r>
    </w:p>
    <w:p>
      <w:pPr>
        <w:numPr>
          <w:ilvl w:val="0"/>
          <w:numId w:val="1002"/>
        </w:numPr>
        <w:pStyle w:val="Compact"/>
      </w:pPr>
      <w:r>
        <w:rPr>
          <w:bCs/>
          <w:b/>
        </w:rPr>
        <w:t xml:space="preserve">Renewable Energy Usage (vpwgjhuumg):</w:t>
      </w:r>
      <w:r>
        <w:t xml:space="preserve"> </w:t>
      </w:r>
      <w:r>
        <w:t xml:space="preserve">40% (Illustrative numerical value from parameter "vpwgjhuumg").</w:t>
      </w:r>
    </w:p>
    <w:p>
      <w:pPr>
        <w:numPr>
          <w:ilvl w:val="0"/>
          <w:numId w:val="1002"/>
        </w:numPr>
        <w:pStyle w:val="Compact"/>
      </w:pPr>
      <w:r>
        <w:rPr>
          <w:bCs/>
          <w:b/>
        </w:rPr>
        <w:t xml:space="preserve">Energy Intensity (kWh/unit) (udkpuhjzow):</w:t>
      </w:r>
      <w:r>
        <w:t xml:space="preserve"> </w:t>
      </w:r>
      <w:r>
        <w:t xml:space="preserve">1.5 kWh/unit (Illustrative numerical value from parameter "udkpuhjzow").</w:t>
      </w:r>
    </w:p>
    <w:p>
      <w:pPr>
        <w:numPr>
          <w:ilvl w:val="0"/>
          <w:numId w:val="1002"/>
        </w:numPr>
        <w:pStyle w:val="Compact"/>
      </w:pPr>
      <w:r>
        <w:rPr>
          <w:bCs/>
          <w:b/>
        </w:rPr>
        <w:t xml:space="preserve">China Grid Electricity Emission Factor:</w:t>
      </w:r>
      <w:r>
        <w:t xml:space="preserve"> </w:t>
      </w:r>
      <w:r>
        <w:t xml:space="preserve">0.6 kg CO2e/kWh (Illustrative, based on average China grid factors ranging from 0.556 to 0.6835 kg CO2e/kWh).</w:t>
      </w:r>
    </w:p>
    <w:bookmarkEnd w:id="34"/>
    <w:bookmarkStart w:id="35" w:name="transport-logistics-data"/>
    <w:p>
      <w:pPr>
        <w:pStyle w:val="Heading3"/>
      </w:pPr>
      <w:r>
        <w:t xml:space="preserve">2.3. Transport Logistics Data</w:t>
      </w:r>
    </w:p>
    <w:p>
      <w:pPr>
        <w:numPr>
          <w:ilvl w:val="0"/>
          <w:numId w:val="1003"/>
        </w:numPr>
        <w:pStyle w:val="Compact"/>
      </w:pPr>
      <w:r>
        <w:rPr>
          <w:bCs/>
          <w:b/>
        </w:rPr>
        <w:t xml:space="preserve">Transport Mode (Select Mode):</w:t>
      </w:r>
      <w:r>
        <w:t xml:space="preserve"> </w:t>
      </w:r>
      <w:r>
        <w:t xml:space="preserve">Road Freight (Heavy Goods Vehicle &gt;20t) is assumed as a representative mode for Europe-focused supply chains.</w:t>
      </w:r>
    </w:p>
    <w:p>
      <w:pPr>
        <w:numPr>
          <w:ilvl w:val="0"/>
          <w:numId w:val="1003"/>
        </w:numPr>
        <w:pStyle w:val="Compact"/>
      </w:pPr>
      <w:r>
        <w:rPr>
          <w:bCs/>
          <w:b/>
        </w:rPr>
        <w:t xml:space="preserve">Transport Distance (dooxuuvstm):</w:t>
      </w:r>
      <w:r>
        <w:t xml:space="preserve"> </w:t>
      </w:r>
      <w:r>
        <w:t xml:space="preserve">500 km (Illustrative numerical value from parameter "dooxuuvstm").</w:t>
      </w:r>
    </w:p>
    <w:p>
      <w:pPr>
        <w:numPr>
          <w:ilvl w:val="0"/>
          <w:numId w:val="1003"/>
        </w:numPr>
        <w:pStyle w:val="Compact"/>
      </w:pPr>
      <w:r>
        <w:rPr>
          <w:bCs/>
          <w:b/>
        </w:rPr>
        <w:t xml:space="preserve">Road Freight Emission Factor:</w:t>
      </w:r>
      <w:r>
        <w:t xml:space="preserve"> </w:t>
      </w:r>
      <w:r>
        <w:t xml:space="preserve">0.08 kg CO2e/tonne-km (Well-to-Wheel, average for HGV &gt;20t in Europe and South America).</w:t>
      </w:r>
    </w:p>
    <w:p>
      <w:pPr>
        <w:numPr>
          <w:ilvl w:val="0"/>
          <w:numId w:val="1003"/>
        </w:numPr>
        <w:pStyle w:val="Compact"/>
      </w:pPr>
      <w:r>
        <w:rPr>
          <w:bCs/>
          <w:b/>
        </w:rPr>
        <w:t xml:space="preserve">Last-Mile Delivery Channel (Delivery Type):</w:t>
      </w:r>
      <w:r>
        <w:t xml:space="preserve"> </w:t>
      </w:r>
      <w:r>
        <w:t xml:space="preserve">Parcel Delivery is assumed as a representative type.</w:t>
      </w:r>
    </w:p>
    <w:p>
      <w:pPr>
        <w:numPr>
          <w:ilvl w:val="0"/>
          <w:numId w:val="1003"/>
        </w:numPr>
        <w:pStyle w:val="Compact"/>
      </w:pPr>
      <w:r>
        <w:rPr>
          <w:bCs/>
          <w:b/>
        </w:rPr>
        <w:t xml:space="preserve">Last-Mile Delivery Emission Factor:</w:t>
      </w:r>
      <w:r>
        <w:t xml:space="preserve"> </w:t>
      </w:r>
      <w:r>
        <w:t xml:space="preserve">0.25 kg CO2e/delivery (Illustrative, based on typical parcel delivery impacts).</w:t>
      </w:r>
    </w:p>
    <w:bookmarkEnd w:id="35"/>
    <w:bookmarkStart w:id="36" w:name="use-phase-data"/>
    <w:p>
      <w:pPr>
        <w:pStyle w:val="Heading3"/>
      </w:pPr>
      <w:r>
        <w:t xml:space="preserve">2.4. Use Phase Data</w:t>
      </w:r>
    </w:p>
    <w:p>
      <w:pPr>
        <w:numPr>
          <w:ilvl w:val="0"/>
          <w:numId w:val="1004"/>
        </w:numPr>
        <w:pStyle w:val="Compact"/>
      </w:pPr>
      <w:r>
        <w:rPr>
          <w:bCs/>
          <w:b/>
        </w:rPr>
        <w:t xml:space="preserve">Product Lifespan (kgkzxgokes):</w:t>
      </w:r>
      <w:r>
        <w:t xml:space="preserve"> </w:t>
      </w:r>
      <w:r>
        <w:t xml:space="preserve">5 years (Illustrative numerical value from parameter "kgkzxgokes").</w:t>
      </w:r>
    </w:p>
    <w:p>
      <w:pPr>
        <w:numPr>
          <w:ilvl w:val="0"/>
          <w:numId w:val="1004"/>
        </w:numPr>
        <w:pStyle w:val="Compact"/>
      </w:pPr>
      <w:r>
        <w:rPr>
          <w:bCs/>
          <w:b/>
        </w:rPr>
        <w:t xml:space="preserve">Energy Consumption in Use (gezdexjzoh):</w:t>
      </w:r>
      <w:r>
        <w:t xml:space="preserve"> </w:t>
      </w:r>
      <w:r>
        <w:t xml:space="preserve">10 kWh/year (Illustrative numerical value from parameter "gezdexjzoh").</w:t>
      </w:r>
    </w:p>
    <w:p>
      <w:pPr>
        <w:numPr>
          <w:ilvl w:val="0"/>
          <w:numId w:val="1004"/>
        </w:numPr>
        <w:pStyle w:val="Compact"/>
      </w:pPr>
      <w:r>
        <w:rPr>
          <w:bCs/>
          <w:b/>
        </w:rPr>
        <w:t xml:space="preserve">Generic User-Region Electricity Emission Factor:</w:t>
      </w:r>
      <w:r>
        <w:t xml:space="preserve"> </w:t>
      </w:r>
      <w:r>
        <w:t xml:space="preserve">0.27 kg CO2e/kWh (Illustrative, representing an average European grid mix for use phase, given "Supply Chain Focus: Europe Focused").</w:t>
      </w:r>
    </w:p>
    <w:bookmarkEnd w:id="36"/>
    <w:bookmarkStart w:id="37" w:name="end-of-life-eol-scenarios"/>
    <w:p>
      <w:pPr>
        <w:pStyle w:val="Heading3"/>
      </w:pPr>
      <w:r>
        <w:t xml:space="preserve">2.5. End-of-Life (EoL) Scenarios</w:t>
      </w:r>
    </w:p>
    <w:p>
      <w:pPr>
        <w:numPr>
          <w:ilvl w:val="0"/>
          <w:numId w:val="1005"/>
        </w:numPr>
        <w:pStyle w:val="Compact"/>
      </w:pPr>
      <w:r>
        <w:rPr>
          <w:bCs/>
          <w:b/>
        </w:rPr>
        <w:t xml:space="preserve">Recyclability Percentage (lwqieeqjgy):</w:t>
      </w:r>
      <w:r>
        <w:t xml:space="preserve"> </w:t>
      </w:r>
      <w:r>
        <w:t xml:space="preserve">60% (Illustrative numerical value from parameter "lwqieeqjgy").</w:t>
      </w:r>
    </w:p>
    <w:p>
      <w:pPr>
        <w:numPr>
          <w:ilvl w:val="0"/>
          <w:numId w:val="1005"/>
        </w:numPr>
        <w:pStyle w:val="Compact"/>
      </w:pPr>
      <w:r>
        <w:rPr>
          <w:bCs/>
          <w:b/>
        </w:rPr>
        <w:t xml:space="preserve">Circular/Take-back Programs (pzxxmjknux):</w:t>
      </w:r>
      <w:r>
        <w:t xml:space="preserve"> </w:t>
      </w:r>
      <w:r>
        <w:t xml:space="preserve">The existence of these programs is noted, indicating efforts to manage end-of-life impacts.</w:t>
      </w:r>
    </w:p>
    <w:p>
      <w:pPr>
        <w:numPr>
          <w:ilvl w:val="0"/>
          <w:numId w:val="1005"/>
        </w:numPr>
        <w:pStyle w:val="Compact"/>
      </w:pPr>
      <w:r>
        <w:rPr>
          <w:bCs/>
          <w:b/>
        </w:rPr>
        <w:t xml:space="preserve">Landfill Emission Factor (Mixed Waste):</w:t>
      </w:r>
      <w:r>
        <w:t xml:space="preserve"> </w:t>
      </w:r>
      <w:r>
        <w:t xml:space="preserve">1.0 kg CO2e/kg (Illustrative, based on typical plastic waste to landfill).</w:t>
      </w:r>
    </w:p>
    <w:p>
      <w:pPr>
        <w:numPr>
          <w:ilvl w:val="0"/>
          <w:numId w:val="1005"/>
        </w:numPr>
        <w:pStyle w:val="Compact"/>
      </w:pPr>
      <w:r>
        <w:rPr>
          <w:bCs/>
          <w:b/>
        </w:rPr>
        <w:t xml:space="preserve">Recycling Avoided Burden Factor (Average):</w:t>
      </w:r>
      <w:r>
        <w:t xml:space="preserve"> </w:t>
      </w:r>
      <w:r>
        <w:t xml:space="preserve">-1.75 kg CO2e/kg (Illustrative, representing avoided virgin production from mixed plastic and metal recycling, benefiting from 1.08-2.5 kg CO2e/kg for plastics and 1.5-8.14 kg CO2e/kg for metals).</w:t>
      </w:r>
    </w:p>
    <w:bookmarkEnd w:id="37"/>
    <w:bookmarkEnd w:id="38"/>
    <w:p>
      <w:r>
        <w:pict>
          <v:rect style="width:0;height:1.5pt" o:hralign="center" o:hrstd="t" o:hr="t"/>
        </w:pict>
      </w:r>
    </w:p>
    <w:bookmarkStart w:id="47" w:name="X439a6e6dcb43c636bf515ffaf3f59bce0bd6490"/>
    <w:p>
      <w:pPr>
        <w:pStyle w:val="Heading2"/>
      </w:pPr>
      <w:r>
        <w:t xml:space="preserve">3. Emission Calculation (Activity * Emission Factor = CO2e)</w:t>
      </w:r>
    </w:p>
    <w:p>
      <w:pPr>
        <w:pStyle w:val="FirstParagraph"/>
      </w:pPr>
      <w:r>
        <w:t xml:space="preserve">Emissions are calculated for each life cycle stage and categorized according to the GHG Protocol Scopes. All calculations are performed for one functional unit (1.0 unit of mzseikgrxv).</w:t>
      </w:r>
    </w:p>
    <w:bookmarkStart w:id="39" w:name="X34585cd0106ff2d2411925fdfec1742b9341d25"/>
    <w:p>
      <w:pPr>
        <w:pStyle w:val="Heading3"/>
      </w:pPr>
      <w:r>
        <w:t xml:space="preserve">3.1. Raw Material Acquisition and Processing (Scope 3, Category 1)</w:t>
      </w:r>
    </w:p>
    <w:p>
      <w:pPr>
        <w:pStyle w:val="FirstParagraph"/>
      </w:pPr>
      <w:r>
        <w:t xml:space="preserve">This category includes emissions from the extraction, processing, and production of all materials listed in the BOM. As per the illustrative BOM in Table 1:</w:t>
      </w:r>
    </w:p>
    <w:p>
      <w:pPr>
        <w:numPr>
          <w:ilvl w:val="0"/>
          <w:numId w:val="1006"/>
        </w:numPr>
        <w:pStyle w:val="Compact"/>
      </w:pPr>
      <w:r>
        <w:t xml:space="preserve">Plastic Casing: 0.20 kg * 3.5 kg CO2e/kg = 0.70 kg CO2e</w:t>
      </w:r>
    </w:p>
    <w:p>
      <w:pPr>
        <w:numPr>
          <w:ilvl w:val="0"/>
          <w:numId w:val="1006"/>
        </w:numPr>
        <w:pStyle w:val="Compact"/>
      </w:pPr>
      <w:r>
        <w:t xml:space="preserve">Metal Fasteners: 0.05 kg * 1.5 kg CO2e/kg = 0.075 kg CO2e</w:t>
      </w:r>
    </w:p>
    <w:p>
      <w:pPr>
        <w:numPr>
          <w:ilvl w:val="0"/>
          <w:numId w:val="1006"/>
        </w:numPr>
        <w:pStyle w:val="Compact"/>
      </w:pPr>
      <w:r>
        <w:t xml:space="preserve">Electronic Components: 0.03 kg * 25.0 kg CO2e/kg = 0.75 kg CO2e</w:t>
      </w:r>
    </w:p>
    <w:p>
      <w:pPr>
        <w:pStyle w:val="FirstParagraph"/>
      </w:pPr>
      <w:r>
        <w:rPr>
          <w:bCs/>
          <w:b/>
        </w:rPr>
        <w:t xml:space="preserve">Total Raw Material Footprint: 1.525 kg CO2e</w:t>
      </w:r>
    </w:p>
    <w:bookmarkEnd w:id="39"/>
    <w:bookmarkStart w:id="40" w:name="manufacturing-energy-scope-2"/>
    <w:p>
      <w:pPr>
        <w:pStyle w:val="Heading3"/>
      </w:pPr>
      <w:r>
        <w:t xml:space="preserve">3.2. Manufacturing Energy (Scope 2)</w:t>
      </w:r>
    </w:p>
    <w:p>
      <w:pPr>
        <w:pStyle w:val="FirstParagraph"/>
      </w:pPr>
      <w:r>
        <w:t xml:space="preserve">Emissions from purchased electricity used during the manufacturing process in China.</w:t>
      </w:r>
    </w:p>
    <w:p>
      <w:pPr>
        <w:numPr>
          <w:ilvl w:val="0"/>
          <w:numId w:val="1007"/>
        </w:numPr>
        <w:pStyle w:val="Compact"/>
      </w:pPr>
      <w:r>
        <w:t xml:space="preserve">Energy Intensity: 1.5 kWh/unit (udkpuhjzow)</w:t>
      </w:r>
    </w:p>
    <w:p>
      <w:pPr>
        <w:numPr>
          <w:ilvl w:val="0"/>
          <w:numId w:val="1007"/>
        </w:numPr>
        <w:pStyle w:val="Compact"/>
      </w:pPr>
      <w:r>
        <w:t xml:space="preserve">Renewable Energy Usage: 40% (vpwgjhuumg)</w:t>
      </w:r>
    </w:p>
    <w:p>
      <w:pPr>
        <w:numPr>
          <w:ilvl w:val="0"/>
          <w:numId w:val="1007"/>
        </w:numPr>
        <w:pStyle w:val="Compact"/>
      </w:pPr>
      <w:r>
        <w:t xml:space="preserve">Non-renewable electricity: 1.5 kWh/unit * (1 - 0.40) = 0.9 kWh/unit</w:t>
      </w:r>
    </w:p>
    <w:p>
      <w:pPr>
        <w:numPr>
          <w:ilvl w:val="0"/>
          <w:numId w:val="1007"/>
        </w:numPr>
        <w:pStyle w:val="Compact"/>
      </w:pPr>
      <w:r>
        <w:t xml:space="preserve">Emissions from non-renewable electricity: 0.9 kWh/unit * 0.6 kg CO2e/kWh (China Grid EF) = 0.54 kg CO2e</w:t>
      </w:r>
    </w:p>
    <w:p>
      <w:pPr>
        <w:numPr>
          <w:ilvl w:val="0"/>
          <w:numId w:val="1007"/>
        </w:numPr>
        <w:pStyle w:val="Compact"/>
      </w:pPr>
      <w:r>
        <w:t xml:space="preserve">Emissions from renewable electricity: 1.5 kWh/unit * 0.40 * 0 kg CO2e/kWh (assuming zero-emissions renewable energy) = 0 kg CO2e</w:t>
      </w:r>
    </w:p>
    <w:p>
      <w:pPr>
        <w:pStyle w:val="FirstParagraph"/>
      </w:pPr>
      <w:r>
        <w:rPr>
          <w:bCs/>
          <w:b/>
        </w:rPr>
        <w:t xml:space="preserve">Total Manufacturing Energy Footprint: 0.54 kg CO2e</w:t>
      </w:r>
    </w:p>
    <w:bookmarkEnd w:id="40"/>
    <w:bookmarkStart w:id="43" w:name="X828618318b795aac74d3a0d15e0597edddc2303"/>
    <w:p>
      <w:pPr>
        <w:pStyle w:val="Heading3"/>
      </w:pPr>
      <w:r>
        <w:t xml:space="preserve">3.3. Transportation and Distribution (Scope 3, Categories 4 &amp; 9)</w:t>
      </w:r>
    </w:p>
    <w:bookmarkStart w:id="41" w:name="X7bc3f4fd28834ea12ce67ac35d89db26953a352"/>
    <w:p>
      <w:pPr>
        <w:pStyle w:val="Heading4"/>
      </w:pPr>
      <w:r>
        <w:t xml:space="preserve">3.3.1. Upstream Transportation (Raw Materials to Factory - Scope 3, Category 4)</w:t>
      </w:r>
    </w:p>
    <w:p>
      <w:pPr>
        <w:pStyle w:val="FirstParagraph"/>
      </w:pPr>
      <w:r>
        <w:t xml:space="preserve">This includes transport of materials to the production facility in China, with a Europe-focused supply chain (illustrative distance assumed).</w:t>
      </w:r>
    </w:p>
    <w:p>
      <w:pPr>
        <w:numPr>
          <w:ilvl w:val="0"/>
          <w:numId w:val="1008"/>
        </w:numPr>
        <w:pStyle w:val="Compact"/>
      </w:pPr>
      <w:r>
        <w:t xml:space="preserve">Total Product Mass (for transport calculation): 0.28 kg = 0.00028 tonnes</w:t>
      </w:r>
    </w:p>
    <w:p>
      <w:pPr>
        <w:numPr>
          <w:ilvl w:val="0"/>
          <w:numId w:val="1008"/>
        </w:numPr>
        <w:pStyle w:val="Compact"/>
      </w:pPr>
      <w:r>
        <w:t xml:space="preserve">Transport Distance: 500 km (dooxuuvstm)</w:t>
      </w:r>
    </w:p>
    <w:p>
      <w:pPr>
        <w:numPr>
          <w:ilvl w:val="0"/>
          <w:numId w:val="1008"/>
        </w:numPr>
        <w:pStyle w:val="Compact"/>
      </w:pPr>
      <w:r>
        <w:t xml:space="preserve">Transport Mode: Road Freight (HGV &gt;20t)</w:t>
      </w:r>
    </w:p>
    <w:p>
      <w:pPr>
        <w:numPr>
          <w:ilvl w:val="0"/>
          <w:numId w:val="1008"/>
        </w:numPr>
        <w:pStyle w:val="Compact"/>
      </w:pPr>
      <w:r>
        <w:t xml:space="preserve">Emission Factor: 0.08 kg CO2e/tonne-km</w:t>
      </w:r>
    </w:p>
    <w:p>
      <w:pPr>
        <w:pStyle w:val="FirstParagraph"/>
      </w:pPr>
      <w:r>
        <w:rPr>
          <w:bCs/>
          <w:b/>
        </w:rPr>
        <w:t xml:space="preserve">Upstream Transport Emissions:</w:t>
      </w:r>
      <w:r>
        <w:t xml:space="preserve"> </w:t>
      </w:r>
      <w:r>
        <w:t xml:space="preserve">0.00028 tonnes * 500 km * 0.08 kg CO2e/tonne-km =</w:t>
      </w:r>
      <w:r>
        <w:t xml:space="preserve"> </w:t>
      </w:r>
      <w:r>
        <w:rPr>
          <w:bCs/>
          <w:b/>
        </w:rPr>
        <w:t xml:space="preserve">0.0112 kg CO2e</w:t>
      </w:r>
    </w:p>
    <w:bookmarkEnd w:id="41"/>
    <w:bookmarkStart w:id="42" w:name="X0ee4e179b4d87a3d8bc19d3f88609105df34370"/>
    <w:p>
      <w:pPr>
        <w:pStyle w:val="Heading4"/>
      </w:pPr>
      <w:r>
        <w:t xml:space="preserve">3.3.2. Downstream Transportation (Last-Mile Delivery - Scope 3, Category 9)</w:t>
      </w:r>
    </w:p>
    <w:p>
      <w:pPr>
        <w:pStyle w:val="FirstParagraph"/>
      </w:pPr>
      <w:r>
        <w:t xml:space="preserve">This covers the final delivery of the product to the customer.</w:t>
      </w:r>
    </w:p>
    <w:p>
      <w:pPr>
        <w:numPr>
          <w:ilvl w:val="0"/>
          <w:numId w:val="1009"/>
        </w:numPr>
        <w:pStyle w:val="Compact"/>
      </w:pPr>
      <w:r>
        <w:t xml:space="preserve">Delivery Channel: Parcel Delivery (Delivery Type)</w:t>
      </w:r>
    </w:p>
    <w:p>
      <w:pPr>
        <w:numPr>
          <w:ilvl w:val="0"/>
          <w:numId w:val="1009"/>
        </w:numPr>
        <w:pStyle w:val="Compact"/>
      </w:pPr>
      <w:r>
        <w:t xml:space="preserve">Emission Factor: 0.25 kg CO2e/delivery</w:t>
      </w:r>
    </w:p>
    <w:p>
      <w:pPr>
        <w:pStyle w:val="FirstParagraph"/>
      </w:pPr>
      <w:r>
        <w:rPr>
          <w:bCs/>
          <w:b/>
        </w:rPr>
        <w:t xml:space="preserve">Last-Mile Delivery Emissions: 0.25 kg CO2e</w:t>
      </w:r>
    </w:p>
    <w:bookmarkEnd w:id="42"/>
    <w:bookmarkEnd w:id="43"/>
    <w:bookmarkStart w:id="44" w:name="use-phase-scope-3-category-11"/>
    <w:p>
      <w:pPr>
        <w:pStyle w:val="Heading3"/>
      </w:pPr>
      <w:r>
        <w:t xml:space="preserve">3.4. Use Phase (Scope 3, Category 11)</w:t>
      </w:r>
    </w:p>
    <w:p>
      <w:pPr>
        <w:pStyle w:val="FirstParagraph"/>
      </w:pPr>
      <w:r>
        <w:t xml:space="preserve">Emissions associated with the product\'s energy consumption during its lifespan.</w:t>
      </w:r>
    </w:p>
    <w:p>
      <w:pPr>
        <w:numPr>
          <w:ilvl w:val="0"/>
          <w:numId w:val="1010"/>
        </w:numPr>
        <w:pStyle w:val="Compact"/>
      </w:pPr>
      <w:r>
        <w:t xml:space="preserve">Product Lifespan: 5 years (kgkzxgokes)</w:t>
      </w:r>
    </w:p>
    <w:p>
      <w:pPr>
        <w:numPr>
          <w:ilvl w:val="0"/>
          <w:numId w:val="1010"/>
        </w:numPr>
        <w:pStyle w:val="Compact"/>
      </w:pPr>
      <w:r>
        <w:t xml:space="preserve">Energy Consumption in Use: 10 kWh/year (gezdexjzoh)</w:t>
      </w:r>
    </w:p>
    <w:p>
      <w:pPr>
        <w:numPr>
          <w:ilvl w:val="0"/>
          <w:numId w:val="1010"/>
        </w:numPr>
        <w:pStyle w:val="Compact"/>
      </w:pPr>
      <w:r>
        <w:t xml:space="preserve">Total Energy in Use: 10 kWh/year * 5 years = 50 kWh/unit</w:t>
      </w:r>
    </w:p>
    <w:p>
      <w:pPr>
        <w:numPr>
          <w:ilvl w:val="0"/>
          <w:numId w:val="1010"/>
        </w:numPr>
        <w:pStyle w:val="Compact"/>
      </w:pPr>
      <w:r>
        <w:t xml:space="preserve">User-Region Electricity Emission Factor: 0.27 kg CO2e/kWh (Illustrative EU average)</w:t>
      </w:r>
    </w:p>
    <w:p>
      <w:pPr>
        <w:pStyle w:val="FirstParagraph"/>
      </w:pPr>
      <w:r>
        <w:rPr>
          <w:bCs/>
          <w:b/>
        </w:rPr>
        <w:t xml:space="preserve">Use Phase Emissions:</w:t>
      </w:r>
      <w:r>
        <w:t xml:space="preserve"> </w:t>
      </w:r>
      <w:r>
        <w:t xml:space="preserve">50 kWh/unit * 0.27 kg CO2e/kWh =</w:t>
      </w:r>
      <w:r>
        <w:t xml:space="preserve"> </w:t>
      </w:r>
      <w:r>
        <w:rPr>
          <w:bCs/>
          <w:b/>
        </w:rPr>
        <w:t xml:space="preserve">13.5 kg CO2e</w:t>
      </w:r>
    </w:p>
    <w:bookmarkEnd w:id="44"/>
    <w:bookmarkStart w:id="45" w:name="X9df28a3cb2cac9b2108080e1e3d009bc306b804"/>
    <w:p>
      <w:pPr>
        <w:pStyle w:val="Heading3"/>
      </w:pPr>
      <w:r>
        <w:t xml:space="preserve">3.5. End-of-Life Treatment (Scope 3, Category 12)</w:t>
      </w:r>
    </w:p>
    <w:p>
      <w:pPr>
        <w:pStyle w:val="FirstParagraph"/>
      </w:pPr>
      <w:r>
        <w:t xml:space="preserve">Emissions and avoided emissions from disposal and recycling scenarios.</w:t>
      </w:r>
    </w:p>
    <w:p>
      <w:pPr>
        <w:numPr>
          <w:ilvl w:val="0"/>
          <w:numId w:val="1011"/>
        </w:numPr>
        <w:pStyle w:val="Compact"/>
      </w:pPr>
      <w:r>
        <w:t xml:space="preserve">Total Product Mass: 0.28 kg</w:t>
      </w:r>
    </w:p>
    <w:p>
      <w:pPr>
        <w:numPr>
          <w:ilvl w:val="0"/>
          <w:numId w:val="1011"/>
        </w:numPr>
        <w:pStyle w:val="Compact"/>
      </w:pPr>
      <w:r>
        <w:t xml:space="preserve">Recyclability Percentage: 60% (lwqieeqjgy)</w:t>
      </w:r>
    </w:p>
    <w:p>
      <w:pPr>
        <w:numPr>
          <w:ilvl w:val="0"/>
          <w:numId w:val="1011"/>
        </w:numPr>
        <w:pStyle w:val="Compact"/>
      </w:pPr>
      <w:r>
        <w:t xml:space="preserve">Material sent to landfill: 0.28 kg * (1 - 0.60) = 0.112 kg</w:t>
      </w:r>
    </w:p>
    <w:p>
      <w:pPr>
        <w:numPr>
          <w:ilvl w:val="0"/>
          <w:numId w:val="1011"/>
        </w:numPr>
        <w:pStyle w:val="Compact"/>
      </w:pPr>
      <w:r>
        <w:t xml:space="preserve">Material recycled: 0.28 kg * 0.60 = 0.168 kg</w:t>
      </w:r>
    </w:p>
    <w:p>
      <w:pPr>
        <w:numPr>
          <w:ilvl w:val="0"/>
          <w:numId w:val="1011"/>
        </w:numPr>
        <w:pStyle w:val="Compact"/>
      </w:pPr>
      <w:r>
        <w:t xml:space="preserve">Landfill Emission Factor: 1.0 kg CO2e/kg</w:t>
      </w:r>
    </w:p>
    <w:p>
      <w:pPr>
        <w:numPr>
          <w:ilvl w:val="0"/>
          <w:numId w:val="1011"/>
        </w:numPr>
        <w:pStyle w:val="Compact"/>
      </w:pPr>
      <w:r>
        <w:t xml:space="preserve">Recycling Avoided Burden Factor: -1.75 kg CO2e/kg (average for mixed materials)</w:t>
      </w:r>
    </w:p>
    <w:p>
      <w:pPr>
        <w:pStyle w:val="FirstParagraph"/>
      </w:pPr>
      <w:r>
        <w:rPr>
          <w:bCs/>
          <w:b/>
        </w:rPr>
        <w:t xml:space="preserve">Emissions from Landfill:</w:t>
      </w:r>
      <w:r>
        <w:t xml:space="preserve"> </w:t>
      </w:r>
      <w:r>
        <w:t xml:space="preserve">0.112 kg * 1.0 kg CO2e/kg = 0.112 kg CO2e</w:t>
      </w:r>
    </w:p>
    <w:p>
      <w:pPr>
        <w:pStyle w:val="BodyText"/>
      </w:pPr>
      <w:r>
        <w:rPr>
          <w:bCs/>
          <w:b/>
        </w:rPr>
        <w:t xml:space="preserve">Emissions/Savings from Recycling:</w:t>
      </w:r>
      <w:r>
        <w:t xml:space="preserve"> </w:t>
      </w:r>
      <w:r>
        <w:t xml:space="preserve">0.168 kg * -1.75 kg CO2e/kg = -0.294 kg CO2e</w:t>
      </w:r>
    </w:p>
    <w:p>
      <w:pPr>
        <w:pStyle w:val="BodyText"/>
      </w:pPr>
      <w:r>
        <w:rPr>
          <w:bCs/>
          <w:b/>
        </w:rPr>
        <w:t xml:space="preserve">Total End-of-Life Footprint:</w:t>
      </w:r>
      <w:r>
        <w:t xml:space="preserve"> </w:t>
      </w:r>
      <w:r>
        <w:t xml:space="preserve">0.112 kg CO2e - 0.294 kg CO2e =</w:t>
      </w:r>
      <w:r>
        <w:t xml:space="preserve"> </w:t>
      </w:r>
      <w:r>
        <w:rPr>
          <w:bCs/>
          <w:b/>
        </w:rPr>
        <w:t xml:space="preserve">-0.182 kg CO2e</w:t>
      </w:r>
      <w:r>
        <w:t xml:space="preserve"> </w:t>
      </w:r>
      <w:r>
        <w:t xml:space="preserve">(Net Credit)</w:t>
      </w:r>
    </w:p>
    <w:bookmarkEnd w:id="45"/>
    <w:bookmarkStart w:id="46" w:name="X4318a7082f56fa4c387719df67b882f69334eab"/>
    <w:p>
      <w:pPr>
        <w:pStyle w:val="Heading3"/>
      </w:pPr>
      <w:r>
        <w:t xml:space="preserve">3.6. Summary of Product Carbon Footprint (PCF) for 1.0 unit of mzseikgrxv</w:t>
      </w:r>
    </w:p>
    <w:p>
      <w:pPr>
        <w:pStyle w:val="FirstParagraph"/>
      </w:pPr>
      <w:r>
        <w:t xml:space="preserve">The total PCF is the sum of emissions across all life cycle stages: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 Cycle Stage / GHG Scope</w:t>
            </w:r>
          </w:p>
        </w:tc>
        <w:tc>
          <w:tcPr/>
          <w:p>
            <w:pPr>
              <w:pStyle w:val="Compact"/>
              <w:jc w:val="left"/>
            </w:pPr>
            <w:r>
              <w:t xml:space="preserve">Emissions (kg CO2e)</w:t>
            </w:r>
          </w:p>
        </w:tc>
      </w:tr>
      <w:tr>
        <w:tc>
          <w:tcPr/>
          <w:p>
            <w:pPr>
              <w:pStyle w:val="Compact"/>
              <w:jc w:val="left"/>
            </w:pPr>
            <w:r>
              <w:t xml:space="preserve">Raw Material Acquisition &amp; Processing (Scope 3, Category 1)</w:t>
            </w:r>
          </w:p>
        </w:tc>
        <w:tc>
          <w:tcPr/>
          <w:p>
            <w:pPr>
              <w:pStyle w:val="Compact"/>
              <w:jc w:val="left"/>
            </w:pPr>
            <w:r>
              <w:t xml:space="preserve">1.525</w:t>
            </w:r>
          </w:p>
        </w:tc>
      </w:tr>
      <w:tr>
        <w:tc>
          <w:tcPr/>
          <w:p>
            <w:pPr>
              <w:pStyle w:val="Compact"/>
              <w:jc w:val="left"/>
            </w:pPr>
            <w:r>
              <w:t xml:space="preserve">Manufacturing Energy (Scope 2)</w:t>
            </w:r>
          </w:p>
        </w:tc>
        <w:tc>
          <w:tcPr/>
          <w:p>
            <w:pPr>
              <w:pStyle w:val="Compact"/>
              <w:jc w:val="left"/>
            </w:pPr>
            <w:r>
              <w:t xml:space="preserve">0.540</w:t>
            </w:r>
          </w:p>
        </w:tc>
      </w:tr>
      <w:tr>
        <w:tc>
          <w:tcPr/>
          <w:p>
            <w:pPr>
              <w:pStyle w:val="Compact"/>
              <w:jc w:val="left"/>
            </w:pPr>
            <w:r>
              <w:t xml:space="preserve">Upstream Transportation (Scope 3, Category 4)</w:t>
            </w:r>
          </w:p>
        </w:tc>
        <w:tc>
          <w:tcPr/>
          <w:p>
            <w:pPr>
              <w:pStyle w:val="Compact"/>
              <w:jc w:val="left"/>
            </w:pPr>
            <w:r>
              <w:t xml:space="preserve">0.0112</w:t>
            </w:r>
          </w:p>
        </w:tc>
      </w:tr>
      <w:tr>
        <w:tc>
          <w:tcPr/>
          <w:p>
            <w:pPr>
              <w:pStyle w:val="Compact"/>
              <w:jc w:val="left"/>
            </w:pPr>
            <w:r>
              <w:t xml:space="preserve">Downstream Transportation (Last-Mile Delivery) (Scope 3, Category 9)</w:t>
            </w:r>
          </w:p>
        </w:tc>
        <w:tc>
          <w:tcPr/>
          <w:p>
            <w:pPr>
              <w:pStyle w:val="Compact"/>
              <w:jc w:val="left"/>
            </w:pPr>
            <w:r>
              <w:t xml:space="preserve">0.250</w:t>
            </w:r>
          </w:p>
        </w:tc>
      </w:tr>
      <w:tr>
        <w:tc>
          <w:tcPr/>
          <w:p>
            <w:pPr>
              <w:pStyle w:val="Compact"/>
              <w:jc w:val="left"/>
            </w:pPr>
            <w:r>
              <w:t xml:space="preserve">Use Phase (Scope 3, Category 11)</w:t>
            </w:r>
          </w:p>
        </w:tc>
        <w:tc>
          <w:tcPr/>
          <w:p>
            <w:pPr>
              <w:pStyle w:val="Compact"/>
              <w:jc w:val="left"/>
            </w:pPr>
            <w:r>
              <w:t xml:space="preserve">13.500</w:t>
            </w:r>
          </w:p>
        </w:tc>
      </w:tr>
      <w:tr>
        <w:tc>
          <w:tcPr/>
          <w:p>
            <w:pPr>
              <w:pStyle w:val="Compact"/>
              <w:jc w:val="left"/>
            </w:pPr>
            <w:r>
              <w:t xml:space="preserve">End-of-Life Treatment (Scope 3, Category 12)</w:t>
            </w:r>
          </w:p>
        </w:tc>
        <w:tc>
          <w:tcPr/>
          <w:p>
            <w:pPr>
              <w:pStyle w:val="Compact"/>
              <w:jc w:val="left"/>
            </w:pPr>
            <w:r>
              <w:t xml:space="preserve">-0.182</w:t>
            </w:r>
          </w:p>
        </w:tc>
      </w:tr>
      <w:tr>
        <w:tc>
          <w:tcPr/>
          <w:p>
            <w:pPr>
              <w:pStyle w:val="Compact"/>
              <w:jc w:val="left"/>
            </w:pPr>
            <w:r>
              <w:t xml:space="preserve">TOTAL PRODUCT CARBON FOOTPRINT</w:t>
            </w:r>
          </w:p>
        </w:tc>
        <w:tc>
          <w:tcPr/>
          <w:p>
            <w:pPr>
              <w:pStyle w:val="Compact"/>
              <w:jc w:val="left"/>
            </w:pPr>
            <w:r>
              <w:t xml:space="preserve">15.6442</w:t>
            </w:r>
          </w:p>
        </w:tc>
      </w:tr>
    </w:tbl>
    <w:p>
      <w:pPr>
        <w:pStyle w:val="BodyText"/>
      </w:pPr>
      <w:r>
        <w:rPr>
          <w:bCs/>
          <w:b/>
        </w:rPr>
        <w:t xml:space="preserve">Total PCF for mzseikgrxv: 15.64 kg CO2e per unit</w:t>
      </w:r>
      <w:r>
        <w:t xml:space="preserve"> </w:t>
      </w:r>
      <w:r>
        <w:t xml:space="preserve">(rounded to two decimal places).</w:t>
      </w:r>
    </w:p>
    <w:bookmarkEnd w:id="46"/>
    <w:bookmarkEnd w:id="47"/>
    <w:p>
      <w:r>
        <w:pict>
          <v:rect style="width:0;height:1.5pt" o:hralign="center" o:hrstd="t" o:hr="t"/>
        </w:pict>
      </w:r>
    </w:p>
    <w:bookmarkStart w:id="52" w:name="review-report"/>
    <w:p>
      <w:pPr>
        <w:pStyle w:val="Heading2"/>
      </w:pPr>
      <w:r>
        <w:t xml:space="preserve">4. Review &amp; Report</w:t>
      </w:r>
    </w:p>
    <w:bookmarkStart w:id="49" w:name="hotspot-analysis"/>
    <w:p>
      <w:pPr>
        <w:pStyle w:val="Heading3"/>
      </w:pPr>
      <w:r>
        <w:t xml:space="preserve">4.1. Hotspot Analysis</w:t>
      </w:r>
    </w:p>
    <w:p>
      <w:pPr>
        <w:pStyle w:val="FirstParagraph"/>
      </w:pPr>
      <w:r>
        <w:t xml:space="preserve">Based on the illustrative calculations, the dominant emission hotspot for mzseikgrxv is clearly the</w:t>
      </w:r>
      <w:r>
        <w:t xml:space="preserve"> </w:t>
      </w:r>
      <w:r>
        <w:rPr>
          <w:bCs/>
          <w:b/>
        </w:rPr>
        <w:t xml:space="preserve">Use Phase (13.5 kg CO2e)</w:t>
      </w:r>
      <w:r>
        <w:t xml:space="preserve">, accounting for approximately 86% of the total product footprint. This is primarily driven by the product\'s energy consumption during its assumed 5-year lifespan. Other significant contributors include Raw Material Acquisition and Processing (9.7%) and Manufacturing Energy (3.5%). Transportation and End-of-Life stages contribute relatively less, with End-of-Life even providing a net credit due to recycling benefits.</w:t>
      </w:r>
    </w:p>
    <w:bookmarkStart w:id="48" w:name="X01671fb8d614182f60d2fc5023f00f347512037"/>
    <w:p>
      <w:pPr>
        <w:pStyle w:val="Heading4"/>
      </w:pPr>
      <w:r>
        <w:t xml:space="preserve">Table 3: PCF Hotspot Contribution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Raw Material Acquisition &amp; Processing</w:t>
            </w:r>
          </w:p>
        </w:tc>
        <w:tc>
          <w:tcPr/>
          <w:p>
            <w:pPr>
              <w:pStyle w:val="Compact"/>
              <w:jc w:val="left"/>
            </w:pPr>
            <w:r>
              <w:t xml:space="preserve">1.525</w:t>
            </w:r>
          </w:p>
        </w:tc>
        <w:tc>
          <w:tcPr/>
          <w:p>
            <w:pPr>
              <w:pStyle w:val="Compact"/>
              <w:jc w:val="left"/>
            </w:pPr>
            <w:r>
              <w:t xml:space="preserve">9.7%</w:t>
            </w:r>
          </w:p>
        </w:tc>
      </w:tr>
      <w:tr>
        <w:tc>
          <w:tcPr/>
          <w:p>
            <w:pPr>
              <w:pStyle w:val="Compact"/>
              <w:jc w:val="left"/>
            </w:pPr>
            <w:r>
              <w:t xml:space="preserve">Manufacturing Energy</w:t>
            </w:r>
          </w:p>
        </w:tc>
        <w:tc>
          <w:tcPr/>
          <w:p>
            <w:pPr>
              <w:pStyle w:val="Compact"/>
              <w:jc w:val="left"/>
            </w:pPr>
            <w:r>
              <w:t xml:space="preserve">0.540</w:t>
            </w:r>
          </w:p>
        </w:tc>
        <w:tc>
          <w:tcPr/>
          <w:p>
            <w:pPr>
              <w:pStyle w:val="Compact"/>
              <w:jc w:val="left"/>
            </w:pPr>
            <w:r>
              <w:t xml:space="preserve">3.5%</w:t>
            </w:r>
          </w:p>
        </w:tc>
      </w:tr>
      <w:tr>
        <w:tc>
          <w:tcPr/>
          <w:p>
            <w:pPr>
              <w:pStyle w:val="Compact"/>
              <w:jc w:val="left"/>
            </w:pPr>
            <w:r>
              <w:t xml:space="preserve">Upstream Transportation</w:t>
            </w:r>
          </w:p>
        </w:tc>
        <w:tc>
          <w:tcPr/>
          <w:p>
            <w:pPr>
              <w:pStyle w:val="Compact"/>
              <w:jc w:val="left"/>
            </w:pPr>
            <w:r>
              <w:t xml:space="preserve">0.0112</w:t>
            </w:r>
          </w:p>
        </w:tc>
        <w:tc>
          <w:tcPr/>
          <w:p>
            <w:pPr>
              <w:pStyle w:val="Compact"/>
              <w:jc w:val="left"/>
            </w:pPr>
            <w:r>
              <w:t xml:space="preserve">0.1%</w:t>
            </w:r>
          </w:p>
        </w:tc>
      </w:tr>
      <w:tr>
        <w:tc>
          <w:tcPr/>
          <w:p>
            <w:pPr>
              <w:pStyle w:val="Compact"/>
              <w:jc w:val="left"/>
            </w:pPr>
            <w:r>
              <w:t xml:space="preserve">Downstream Transportation</w:t>
            </w:r>
          </w:p>
        </w:tc>
        <w:tc>
          <w:tcPr/>
          <w:p>
            <w:pPr>
              <w:pStyle w:val="Compact"/>
              <w:jc w:val="left"/>
            </w:pPr>
            <w:r>
              <w:t xml:space="preserve">0.250</w:t>
            </w:r>
          </w:p>
        </w:tc>
        <w:tc>
          <w:tcPr/>
          <w:p>
            <w:pPr>
              <w:pStyle w:val="Compact"/>
              <w:jc w:val="left"/>
            </w:pPr>
            <w:r>
              <w:t xml:space="preserve">1.6%</w:t>
            </w:r>
          </w:p>
        </w:tc>
      </w:tr>
      <w:tr>
        <w:tc>
          <w:tcPr/>
          <w:p>
            <w:pPr>
              <w:pStyle w:val="Compact"/>
              <w:jc w:val="left"/>
            </w:pPr>
            <w:r>
              <w:t xml:space="preserve">Use Phase</w:t>
            </w:r>
          </w:p>
        </w:tc>
        <w:tc>
          <w:tcPr/>
          <w:p>
            <w:pPr>
              <w:pStyle w:val="Compact"/>
              <w:jc w:val="left"/>
            </w:pPr>
            <w:r>
              <w:t xml:space="preserve">13.500</w:t>
            </w:r>
          </w:p>
        </w:tc>
        <w:tc>
          <w:tcPr/>
          <w:p>
            <w:pPr>
              <w:pStyle w:val="Compact"/>
              <w:jc w:val="left"/>
            </w:pPr>
            <w:r>
              <w:t xml:space="preserve">86.3%</w:t>
            </w:r>
          </w:p>
        </w:tc>
      </w:tr>
      <w:tr>
        <w:tc>
          <w:tcPr/>
          <w:p>
            <w:pPr>
              <w:pStyle w:val="Compact"/>
              <w:jc w:val="left"/>
            </w:pPr>
            <w:r>
              <w:t xml:space="preserve">End-of-Life Treatment (Net)</w:t>
            </w:r>
          </w:p>
        </w:tc>
        <w:tc>
          <w:tcPr/>
          <w:p>
            <w:pPr>
              <w:pStyle w:val="Compact"/>
              <w:jc w:val="left"/>
            </w:pPr>
            <w:r>
              <w:t xml:space="preserve">-0.182</w:t>
            </w:r>
          </w:p>
        </w:tc>
        <w:tc>
          <w:tcPr/>
          <w:p>
            <w:pPr>
              <w:pStyle w:val="Compact"/>
              <w:jc w:val="left"/>
            </w:pPr>
            <w:r>
              <w:t xml:space="preserve">-1.2%</w:t>
            </w:r>
          </w:p>
        </w:tc>
      </w:tr>
      <w:tr>
        <w:tc>
          <w:tcPr/>
          <w:p>
            <w:pPr>
              <w:pStyle w:val="Compact"/>
              <w:jc w:val="left"/>
            </w:pPr>
            <w:r>
              <w:t xml:space="preserve">Total</w:t>
            </w:r>
          </w:p>
        </w:tc>
        <w:tc>
          <w:tcPr/>
          <w:p>
            <w:pPr>
              <w:pStyle w:val="Compact"/>
              <w:jc w:val="left"/>
            </w:pPr>
            <w:r>
              <w:t xml:space="preserve">15.6442</w:t>
            </w:r>
          </w:p>
        </w:tc>
        <w:tc>
          <w:tcPr/>
          <w:p>
            <w:pPr>
              <w:pStyle w:val="Compact"/>
              <w:jc w:val="left"/>
            </w:pPr>
            <w:r>
              <w:t xml:space="preserve">100.0%</w:t>
            </w:r>
          </w:p>
        </w:tc>
      </w:tr>
    </w:tbl>
    <w:bookmarkEnd w:id="48"/>
    <w:bookmarkEnd w:id="49"/>
    <w:bookmarkStart w:id="50" w:name="reliability-and-limitations"/>
    <w:p>
      <w:pPr>
        <w:pStyle w:val="Heading3"/>
      </w:pPr>
      <w:r>
        <w:t xml:space="preserve">4.2. Reliability and Limitations</w:t>
      </w:r>
    </w:p>
    <w:p>
      <w:pPr>
        <w:pStyle w:val="FirstParagraph"/>
      </w:pPr>
      <w:r>
        <w:t xml:space="preserve">The reliability of this PCF analysis is contingent upon the accuracy and completeness of the data inputs.</w:t>
      </w:r>
      <w:r>
        <w:t xml:space="preserve"> </w:t>
      </w:r>
      <w:r>
        <w:t xml:space="preserve">A significant limitation in this report is the use of illustrative numerical values for the parameters provided as generic strings (e.g., mgwnssof, dooxuuvstm, vpwgjhuumg, udkpuhjzow, kgkzxgokes, gezdexjzoh, lwqieeqjgy). While these were interpreted based on the parameter names to demonstrate the calculation methodology, actual primary data for each specific input is crucial for a definitive and auditable PCF. The emission factors used are based on industry-standard databases (e.g., derived from Ecoinvent/DEFRA principles, GLEC, EPA, Climatiq) and publicly available research, representing average values which may not perfectly reflect specific supplier or operational nuances.</w:t>
      </w:r>
    </w:p>
    <w:bookmarkEnd w:id="50"/>
    <w:bookmarkStart w:id="51" w:name="recommendations-for-emission-reduction"/>
    <w:p>
      <w:pPr>
        <w:pStyle w:val="Heading3"/>
      </w:pPr>
      <w:r>
        <w:t xml:space="preserve">4.3. Recommendations for Emission Reduction</w:t>
      </w:r>
    </w:p>
    <w:p>
      <w:pPr>
        <w:pStyle w:val="FirstParagraph"/>
      </w:pPr>
      <w:r>
        <w:t xml:space="preserve">To significantly reduce the product carbon footprint of mzseikgrxv, hnenlzjfzz should focus on the identified hotspots:</w:t>
      </w:r>
    </w:p>
    <w:p>
      <w:pPr>
        <w:numPr>
          <w:ilvl w:val="0"/>
          <w:numId w:val="1012"/>
        </w:numPr>
        <w:pStyle w:val="Compact"/>
      </w:pPr>
      <w:r>
        <w:rPr>
          <w:bCs/>
          <w:b/>
        </w:rPr>
        <w:t xml:space="preserve">Use Phase Optimization:</w:t>
      </w:r>
      <w:r>
        <w:t xml:space="preserve"> </w:t>
      </w:r>
      <w:r>
        <w:t xml:space="preserve">Investigate opportunities to reduce the product\'s energy consumption during its lifespan (gezdexjzoh). This could involve redesign for energy efficiency, longer product lifespan (kgkzxgokes) to amortize production emissions over more use cycles, or promoting the use of renewable energy by end-users.</w:t>
      </w:r>
    </w:p>
    <w:p>
      <w:pPr>
        <w:numPr>
          <w:ilvl w:val="0"/>
          <w:numId w:val="1012"/>
        </w:numPr>
        <w:pStyle w:val="Compact"/>
      </w:pPr>
      <w:r>
        <w:rPr>
          <w:bCs/>
          <w:b/>
        </w:rPr>
        <w:t xml:space="preserve">Material Circularity:</w:t>
      </w:r>
      <w:r>
        <w:t xml:space="preserve"> </w:t>
      </w:r>
      <w:r>
        <w:t xml:space="preserve">Enhance the recyclability (lwqieeqjgy) of mzseikgrxv and its components. Strengthening internal and external Circular/Take-back Programs (pzxxmjknux) will ensure higher recovery rates and greater avoided emissions at End-of-Life. Explore opportunities for using recycled content in initial product design.</w:t>
      </w:r>
    </w:p>
    <w:p>
      <w:pPr>
        <w:numPr>
          <w:ilvl w:val="0"/>
          <w:numId w:val="1012"/>
        </w:numPr>
        <w:pStyle w:val="Compact"/>
      </w:pPr>
      <w:r>
        <w:rPr>
          <w:bCs/>
          <w:b/>
        </w:rPr>
        <w:t xml:space="preserve">Manufacturing Energy Decarbonization:</w:t>
      </w:r>
      <w:r>
        <w:t xml:space="preserve"> </w:t>
      </w:r>
      <w:r>
        <w:t xml:space="preserve">Increase the percentage of renewable energy usage (vpwgjhuumg) in manufacturing operations in China. While 40% is noted, striving for 100% renewable energy will eliminate Scope 2 emissions.</w:t>
      </w:r>
    </w:p>
    <w:p>
      <w:pPr>
        <w:numPr>
          <w:ilvl w:val="0"/>
          <w:numId w:val="1012"/>
        </w:numPr>
        <w:pStyle w:val="Compact"/>
      </w:pPr>
      <w:r>
        <w:rPr>
          <w:bCs/>
          <w:b/>
        </w:rPr>
        <w:t xml:space="preserve">Supply Chain Engagement:</w:t>
      </w:r>
      <w:r>
        <w:t xml:space="preserve"> </w:t>
      </w:r>
      <w:r>
        <w:t xml:space="preserve">Work with suppliers to reduce the embodied emissions of raw materials (mgwnssof), especially for high-impact components like electronics and plastics. Encourage suppliers to adopt lower-carbon manufacturing processes and transition to renewable energy.</w:t>
      </w:r>
    </w:p>
    <w:p>
      <w:pPr>
        <w:numPr>
          <w:ilvl w:val="0"/>
          <w:numId w:val="1012"/>
        </w:numPr>
        <w:pStyle w:val="Compact"/>
      </w:pPr>
      <w:r>
        <w:rPr>
          <w:bCs/>
          <w:b/>
        </w:rPr>
        <w:t xml:space="preserve">Logistics Optimization:</w:t>
      </w:r>
      <w:r>
        <w:t xml:space="preserve"> </w:t>
      </w:r>
      <w:r>
        <w:t xml:space="preserve">Optimize transport modes and routes (Transport Mode: Select Mode, Transport Distance: dooxuuvstm) to minimize fuel consumption and emissions. This is particularly relevant for the "Europe Focused" supply chain. Investigate consolidated shipping and more efficient last-mile delivery options (Delivery Type).</w:t>
      </w:r>
    </w:p>
    <w:bookmarkEnd w:id="51"/>
    <w:bookmarkEnd w:id="52"/>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mzseikgrxv</dc:title>
  <dc:creator/>
  <dc:description>Detailed Product Carbon Footprint (PCF) analysis for mzseikgrxv, adhering to GHG Protocol standards and 2026 updates, for company hnenlzjfzz.</dc:description>
  <dc:language>en</dc:language>
  <cp:keywords/>
  <dcterms:created xsi:type="dcterms:W3CDTF">2026-05-30T19:24:18Z</dcterms:created>
  <dcterms:modified xsi:type="dcterms:W3CDTF">2026-05-30T19:24:18Z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