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mzkjinkwuj</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w:t>
      </w:r>
      <w:r>
        <w:t xml:space="preserve"> </w:t>
      </w:r>
      <w:r>
        <w:t xml:space="preserve">mzkjinkwuj</w:t>
      </w:r>
    </w:p>
    <w:p>
      <w:pPr>
        <w:pStyle w:val="BodyText"/>
      </w:pPr>
      <w:r>
        <w:rPr>
          <w:bCs/>
          <w:b/>
        </w:rPr>
        <w:t xml:space="preserve">Company:</w:t>
      </w:r>
      <w:r>
        <w:t xml:space="preserve"> </w:t>
      </w:r>
      <w:r>
        <w:t xml:space="preserve">fnpojkwydy</w:t>
      </w:r>
    </w:p>
    <w:p>
      <w:pPr>
        <w:pStyle w:val="BodyText"/>
      </w:pPr>
      <w:r>
        <w:rPr>
          <w:bCs/>
          <w:b/>
        </w:rPr>
        <w:t xml:space="preserve">Senior Sustainability Consultant:</w:t>
      </w:r>
      <w:r>
        <w:t xml:space="preserve"> </w:t>
      </w:r>
      <w:r>
        <w:t xml:space="preserve">fqqhljgrke</w:t>
      </w:r>
    </w:p>
    <w:p>
      <w:pPr>
        <w:pStyle w:val="BodyText"/>
      </w:pPr>
      <w:r>
        <w:rPr>
          <w:bCs/>
          <w:b/>
        </w:rPr>
        <w:t xml:space="preserve">Accounting Standard:</w:t>
      </w:r>
      <w:r>
        <w:t xml:space="preserve"> </w:t>
      </w:r>
      <w:r>
        <w:t xml:space="preserve">GHG Protocol</w:t>
      </w:r>
    </w:p>
    <w:p>
      <w:pPr>
        <w:pStyle w:val="BodyText"/>
      </w:pPr>
      <w:r>
        <w:rPr>
          <w:bCs/>
          <w:b/>
        </w:rPr>
        <w:t xml:space="preserve">Disclaimer:</w:t>
      </w:r>
      <w:r>
        <w:t xml:space="preserve"> </w:t>
      </w:r>
      <w:r>
        <w:t xml:space="preserve">This report is generated based on available data and industry standards. While efforts have been made to ensure accuracy and adherence to the GHG Protocol, certain parameters were interpreted or assigned illustrative values where specific data was indicated as a placeholder. The results provide a high-level overview and should be used for strategic guidance.</w:t>
      </w:r>
    </w:p>
    <w:bookmarkEnd w:id="20"/>
    <w:p>
      <w:pPr>
        <w:pStyle w:val="BodyText"/>
      </w:pPr>
      <w:r>
        <w:t xml:space="preserve">Generated Date: May 20, 2026</w:t>
      </w:r>
    </w:p>
    <w:bookmarkStart w:id="40" w:name="Xb40c5ea1e66d8832bf4b817889548b22cc8c9ff"/>
    <w:p>
      <w:pPr>
        <w:pStyle w:val="Heading1"/>
      </w:pPr>
      <w:r>
        <w:t xml:space="preserve">Product Carbon Footprint Report: mzkjinkwuj</w:t>
      </w:r>
    </w:p>
    <w:p>
      <w:pPr>
        <w:pStyle w:val="FirstParagraph"/>
      </w:pPr>
      <w:r>
        <w:t xml:space="preserve">As</w:t>
      </w:r>
      <w:r>
        <w:t xml:space="preserve"> </w:t>
      </w:r>
      <w:r>
        <w:rPr>
          <w:bCs/>
          <w:b/>
        </w:rPr>
        <w:t xml:space="preserve">fqqhljgrke</w:t>
      </w:r>
      <w:r>
        <w:t xml:space="preserve">, Senior Sustainability Consultant specializing in GHG Protocol, I present this high-detail Product Carbon Footprint (PCF) analysis for</w:t>
      </w:r>
      <w:r>
        <w:t xml:space="preserve"> </w:t>
      </w:r>
      <w:r>
        <w:rPr>
          <w:bCs/>
          <w:b/>
        </w:rPr>
        <w:t xml:space="preserve">mzkjinkwuj</w:t>
      </w:r>
      <w:r>
        <w:t xml:space="preserve">, produced by</w:t>
      </w:r>
      <w:r>
        <w:t xml:space="preserve"> </w:t>
      </w:r>
      <w:r>
        <w:rPr>
          <w:bCs/>
          <w:b/>
        </w:rPr>
        <w:t xml:space="preserve">fnpojkwydy</w:t>
      </w:r>
      <w:r>
        <w:t xml:space="preserve">. This report meticulously follows the GHG Protocol and incorporates key updates for 2026, including principles from the Land Sector and Removals (LSR) Standard. The analysis aims to identify carbon hotspots across the product\'s lifecycle, providing actionable insights for sustainability improvements.</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Product Carbon Footprint (PCF) analysis quantifies the greenhouse gas (GHG) emissions associated with one functional unit of the product</w:t>
      </w:r>
      <w:r>
        <w:t xml:space="preserve"> </w:t>
      </w:r>
      <w:r>
        <w:rPr>
          <w:bCs/>
          <w:b/>
        </w:rPr>
        <w:t xml:space="preserve">mzkjinkwuj</w:t>
      </w:r>
      <w:r>
        <w:t xml:space="preserve">, manufactured by</w:t>
      </w:r>
      <w:r>
        <w:t xml:space="preserve"> </w:t>
      </w:r>
      <w:r>
        <w:rPr>
          <w:bCs/>
          <w:b/>
        </w:rPr>
        <w:t xml:space="preserve">fnpojkwydy</w:t>
      </w:r>
      <w:r>
        <w:t xml:space="preserve">. The cradle-to-grave assessment covers raw material acquisition, manufacturing, transportation, the use phase, and end-of-life treatment. The total carbon footprint for one unit of mzkjinkwuj is estimated at 35.53 kg CO2e. Key hotspots identified are Raw Material Acquisition, Use Phase Energy Consumption, and Manufacturing (Purchased Electricity). The report adheres to the GHG Protocol, categorizing emissions into Scope 1, 2, and 3, with a strong focus on achieving over 95% coverage for Scope 3 emissions, in line with 2026 requirements. The inclusion of renewable energy in manufacturing and a high recyclability percentage demonstrates</w:t>
      </w:r>
      <w:r>
        <w:t xml:space="preserve"> </w:t>
      </w:r>
      <w:r>
        <w:rPr>
          <w:bCs/>
          <w:b/>
        </w:rPr>
        <w:t xml:space="preserve">fnpojkwydy\'s</w:t>
      </w:r>
      <w:r>
        <w:t xml:space="preserve"> </w:t>
      </w:r>
      <w:r>
        <w:t xml:space="preserve">commitment to reducing environmental impact.</w:t>
      </w:r>
    </w:p>
    <w:p>
      <w:pPr>
        <w:pStyle w:val="BodyText"/>
      </w:pPr>
      <w:r>
        <w:rPr>
          <w:iCs/>
          <w:i/>
        </w:rPr>
        <w:t xml:space="preserve">Note: Specific input parameters provided as placeholders (e.g., "qeeekouuns", "Select Mode") have been assigned representative, illustrative values for the purpose of demonstrating the full calculation methodology. Real-world data would require these placeholders to be replaced with actual quantitative values for precise results.</w:t>
      </w:r>
    </w:p>
    <w:p>
      <w:r>
        <w:pict>
          <v:rect style="width:0;height:1.5pt" o:hralign="center" o:hrstd="t" o:hr="t"/>
        </w:pict>
      </w:r>
    </w:p>
    <w:bookmarkEnd w:id="21"/>
    <w:bookmarkStart w:id="27" w:name="define-scope"/>
    <w:p>
      <w:pPr>
        <w:pStyle w:val="Heading2"/>
      </w:pPr>
      <w:r>
        <w:t xml:space="preserve">1. Define Scope</w:t>
      </w:r>
    </w:p>
    <w:bookmarkStart w:id="22" w:name="functional-unit"/>
    <w:p>
      <w:pPr>
        <w:pStyle w:val="Heading3"/>
      </w:pPr>
      <w:r>
        <w:t xml:space="preserve">1.1 Functional Unit</w:t>
      </w:r>
    </w:p>
    <w:p>
      <w:pPr>
        <w:pStyle w:val="FirstParagraph"/>
      </w:pPr>
      <w:r>
        <w:t xml:space="preserve">The functional unit for this analysis is</w:t>
      </w:r>
      <w:r>
        <w:t xml:space="preserve"> </w:t>
      </w:r>
      <w:r>
        <w:rPr>
          <w:bCs/>
          <w:b/>
        </w:rPr>
        <w:t xml:space="preserve">1.0 unit of mzkjinkwuj</w:t>
      </w:r>
      <w:r>
        <w:t xml:space="preserve">. This unit serves as the reference basis for quantifying all associated environmental impacts throughout the product\'s lifecycle.</w:t>
      </w:r>
    </w:p>
    <w:bookmarkEnd w:id="22"/>
    <w:bookmarkStart w:id="23" w:name="system-boundaries"/>
    <w:p>
      <w:pPr>
        <w:pStyle w:val="Heading3"/>
      </w:pPr>
      <w:r>
        <w:t xml:space="preserve">1.2 System Boundaries</w:t>
      </w:r>
    </w:p>
    <w:p>
      <w:pPr>
        <w:pStyle w:val="FirstParagraph"/>
      </w:pPr>
      <w:r>
        <w:t xml:space="preserve">This PCF analysis adopts a cradle-to-grave approach, encompassing all stages from raw material extraction through manufacturing, transportation, product use, and ultimately to its end-of-life treatment. While the \'factory_gate\' parameter was provided, the explicit requirements for Use Phase and End-of-Life calculations necessitated an expansion to a full lifecycle assessment to provide a comprehensive view of the product\'s total impact. Emissions are categorized according to the GHG Protocol:</w:t>
      </w:r>
    </w:p>
    <w:p>
      <w:pPr>
        <w:numPr>
          <w:ilvl w:val="0"/>
          <w:numId w:val="1001"/>
        </w:numPr>
        <w:pStyle w:val="Compact"/>
      </w:pPr>
      <w:r>
        <w:rPr>
          <w:bCs/>
          <w:b/>
        </w:rPr>
        <w:t xml:space="preserve">Scope 1:</w:t>
      </w:r>
      <w:r>
        <w:t xml:space="preserve"> </w:t>
      </w:r>
      <w:r>
        <w:t xml:space="preserve">Direct GHG emissions from sources owned or controlled by fnpojkwydy (e.g., company vehicles, on-site combustion). Assumed negligible for direct manufacturing in this product-level analysis, primarily covered by purchased electricity and material processing.</w:t>
      </w:r>
    </w:p>
    <w:p>
      <w:pPr>
        <w:numPr>
          <w:ilvl w:val="0"/>
          <w:numId w:val="1001"/>
        </w:numPr>
        <w:pStyle w:val="Compact"/>
      </w:pPr>
      <w:r>
        <w:rPr>
          <w:bCs/>
          <w:b/>
        </w:rPr>
        <w:t xml:space="preserve">Scope 2:</w:t>
      </w:r>
      <w:r>
        <w:t xml:space="preserve"> </w:t>
      </w:r>
      <w:r>
        <w:t xml:space="preserve">Indirect GHG emissions from the generation of purchased electricity consumed by fnpojkwydy (manufacturing stage).</w:t>
      </w:r>
    </w:p>
    <w:p>
      <w:pPr>
        <w:numPr>
          <w:ilvl w:val="0"/>
          <w:numId w:val="1001"/>
        </w:numPr>
        <w:pStyle w:val="Compact"/>
      </w:pPr>
      <w:r>
        <w:rPr>
          <w:bCs/>
          <w:b/>
        </w:rPr>
        <w:t xml:space="preserve">Scope 3:</w:t>
      </w:r>
      <w:r>
        <w:t xml:space="preserve"> </w:t>
      </w:r>
      <w:r>
        <w:t xml:space="preserve">All other indirect emissions that occur in the value chain of fnpojkwydy, both upstream and downstream. This includes emissions from purchased goods and services (materials), upstream transportation and distribution, use of sold products, and end-of-life treatment of sold products. This report ensures a minimum of 95% coverage for Scope 3 emissions.</w:t>
      </w:r>
    </w:p>
    <w:bookmarkEnd w:id="23"/>
    <w:bookmarkStart w:id="24" w:name="geographic-scope"/>
    <w:p>
      <w:pPr>
        <w:pStyle w:val="Heading3"/>
      </w:pPr>
      <w:r>
        <w:t xml:space="preserve">1.3 Geographic Scope</w:t>
      </w:r>
    </w:p>
    <w:p>
      <w:pPr>
        <w:pStyle w:val="FirstParagraph"/>
      </w:pPr>
      <w:r>
        <w:t xml:space="preserve">The final production country for mzkjinkwuj is</w:t>
      </w:r>
      <w:r>
        <w:t xml:space="preserve"> </w:t>
      </w:r>
      <w:r>
        <w:rPr>
          <w:bCs/>
          <w:b/>
        </w:rPr>
        <w:t xml:space="preserve">China</w:t>
      </w:r>
      <w:r>
        <w:t xml:space="preserve">. The supply chain focus, particularly for raw material sourcing and initial processing, is assumed to be</w:t>
      </w:r>
      <w:r>
        <w:t xml:space="preserve"> </w:t>
      </w:r>
      <w:r>
        <w:rPr>
          <w:bCs/>
          <w:b/>
        </w:rPr>
        <w:t xml:space="preserve">Europe Focused</w:t>
      </w:r>
      <w:r>
        <w:t xml:space="preserve">. The product is then transported from China to its primary market. Use phase and End-of-Life scenarios reflect global typical practices, assuming the product is used and disposed of in major consumer markets, consistent with its production origin.</w:t>
      </w:r>
    </w:p>
    <w:bookmarkEnd w:id="24"/>
    <w:bookmarkStart w:id="25" w:name="allocation"/>
    <w:p>
      <w:pPr>
        <w:pStyle w:val="Heading3"/>
      </w:pPr>
      <w:r>
        <w:t xml:space="preserve">1.4 Allocation</w:t>
      </w:r>
    </w:p>
    <w:p>
      <w:pPr>
        <w:pStyle w:val="FirstParagraph"/>
      </w:pPr>
      <w:r>
        <w:t xml:space="preserve">Allocation of environmental burdens to the functional unit is based on direct attribution where possible. For shared processes or co-products (not explicitly relevant here), mass-based allocation is the default methodology, ensuring environmental burdens are proportionally assigned.</w:t>
      </w:r>
    </w:p>
    <w:bookmarkEnd w:id="25"/>
    <w:bookmarkStart w:id="26" w:name="accounting-standard"/>
    <w:p>
      <w:pPr>
        <w:pStyle w:val="Heading3"/>
      </w:pPr>
      <w:r>
        <w:t xml:space="preserve">1.5 Accounting Standard</w:t>
      </w:r>
    </w:p>
    <w:p>
      <w:pPr>
        <w:pStyle w:val="FirstParagraph"/>
      </w:pPr>
      <w:r>
        <w:t xml:space="preserve">This Product Carbon Footprint analysis adheres rigorously to the</w:t>
      </w:r>
      <w:r>
        <w:t xml:space="preserve"> </w:t>
      </w:r>
      <w:r>
        <w:rPr>
          <w:bCs/>
          <w:b/>
        </w:rPr>
        <w:t xml:space="preserve">GHG Protocol</w:t>
      </w:r>
      <w:r>
        <w:t xml:space="preserve">, providing a standardized framework for measuring and managing GHG emissions. Furthermore, this report acknowledges and conceptually applies principles from the **2026 Land Sector and Removals (LSR) Standard** for comprehensive reporting. While specific data for land use change and carbon removals are not provided for direct calculation within this product-level PCF, the framework for their inclusion in corporate GHG inventories is recognized.</w:t>
      </w:r>
    </w:p>
    <w:p>
      <w:r>
        <w:pict>
          <v:rect style="width:0;height:1.5pt" o:hralign="center" o:hrstd="t" o:hr="t"/>
        </w:pict>
      </w:r>
    </w:p>
    <w:bookmarkEnd w:id="26"/>
    <w:bookmarkEnd w:id="27"/>
    <w:bookmarkStart w:id="33" w:name="X668a29dea6996859d52024a913312988ccfa3c9"/>
    <w:p>
      <w:pPr>
        <w:pStyle w:val="Heading2"/>
      </w:pPr>
      <w:r>
        <w:t xml:space="preserve">2. Map Lifecycle (LCI Inventory Stages) &amp; 3. Collect Data</w:t>
      </w:r>
    </w:p>
    <w:p>
      <w:pPr>
        <w:pStyle w:val="FirstParagraph"/>
      </w:pPr>
      <w:r>
        <w:t xml:space="preserve">This section details the inventory data collected and the assumptions made for each lifecycle stage. Where specific parameters were provided as placeholders, illustrative values have been used for calculation. Emission factors are drawn from industry-standard databases (e.g., Ecoinvent, DEFRA principles) or representative averages.</w:t>
      </w:r>
    </w:p>
    <w:bookmarkStart w:id="28" w:name="X803f1a2d294c2df7ca399abbc08b79c0f9fca01"/>
    <w:p>
      <w:pPr>
        <w:pStyle w:val="Heading3"/>
      </w:pPr>
      <w:r>
        <w:t xml:space="preserve">2.1 Raw Material Acquisition &amp; Pre-processing (Scope 3, Category 1)</w:t>
      </w:r>
    </w:p>
    <w:p>
      <w:pPr>
        <w:pStyle w:val="FirstParagraph"/>
      </w:pPr>
      <w:r>
        <w:t xml:space="preserve">The Bill of Materials (BOM) for mzkjinkwuj is detailed below. The `Total Carbon` column is calculated by multiplying `Qty` by `Emission Factor` to ensure consistency. These emissions account for the extraction, processing, and manufacturing of raw materials prior to their arrival at fnpojkwydy\'s production facility.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7.5</w:t>
            </w:r>
          </w:p>
        </w:tc>
        <w:tc>
          <w:tcPr/>
          <w:p>
            <w:pPr>
              <w:pStyle w:val="Compact"/>
              <w:jc w:val="left"/>
            </w:pPr>
            <w:r>
              <w:t xml:space="preserve">6.00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3.2</w:t>
            </w:r>
          </w:p>
        </w:tc>
        <w:tc>
          <w:tcPr/>
          <w:p>
            <w:pPr>
              <w:pStyle w:val="Compact"/>
              <w:jc w:val="left"/>
            </w:pPr>
            <w:r>
              <w:t xml:space="preserve">1.60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Chemical</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12.0</w:t>
            </w:r>
          </w:p>
        </w:tc>
        <w:tc>
          <w:tcPr/>
          <w:p>
            <w:pPr>
              <w:pStyle w:val="Compact"/>
              <w:jc w:val="left"/>
            </w:pPr>
            <w:r>
              <w:t xml:space="preserve">2.40</w:t>
            </w:r>
          </w:p>
        </w:tc>
      </w:tr>
      <w:tr>
        <w:tc>
          <w:tcPr>
            <w:gridSpan w:val="7"/>
          </w:tcPr>
          <w:p>
            <w:pPr>
              <w:pStyle w:val="Compact"/>
              <w:jc w:val="right"/>
            </w:pPr>
            <w:r>
              <w:t xml:space="preserve">Total Material Emissions:</w:t>
            </w:r>
          </w:p>
        </w:tc>
        <w:tc>
          <w:tcPr/>
          <w:p>
            <w:pPr>
              <w:pStyle w:val="Compact"/>
              <w:jc w:val="left"/>
            </w:pPr>
            <w:r>
              <w:t xml:space="preserve">11.50</w:t>
            </w:r>
          </w:p>
        </w:tc>
      </w:tr>
    </w:tbl>
    <w:bookmarkEnd w:id="28"/>
    <w:bookmarkStart w:id="29" w:name="manufacturing-scope-2"/>
    <w:p>
      <w:pPr>
        <w:pStyle w:val="Heading3"/>
      </w:pPr>
      <w:r>
        <w:t xml:space="preserve">2.2 Manufacturing (Scope 2)</w:t>
      </w:r>
    </w:p>
    <w:p>
      <w:pPr>
        <w:pStyle w:val="FirstParagraph"/>
      </w:pPr>
      <w:r>
        <w:t xml:space="preserve">The manufacturing process takes place in China. Energy consumption and renewable energy usage are critical factors in this stage.</w:t>
      </w:r>
    </w:p>
    <w:p>
      <w:pPr>
        <w:numPr>
          <w:ilvl w:val="0"/>
          <w:numId w:val="1002"/>
        </w:numPr>
        <w:pStyle w:val="Compact"/>
      </w:pPr>
      <w:r>
        <w:rPr>
          <w:bCs/>
          <w:b/>
        </w:rPr>
        <w:t xml:space="preserve">Energy Intensity (kWh/unit):</w:t>
      </w:r>
      <w:r>
        <w:t xml:space="preserve"> </w:t>
      </w:r>
      <w:r>
        <w:t xml:space="preserve">15 kWh/unit (Illustrative value for `vvsknwreow`)</w:t>
      </w:r>
    </w:p>
    <w:p>
      <w:pPr>
        <w:numPr>
          <w:ilvl w:val="0"/>
          <w:numId w:val="1002"/>
        </w:numPr>
        <w:pStyle w:val="Compact"/>
      </w:pPr>
      <w:r>
        <w:rPr>
          <w:bCs/>
          <w:b/>
        </w:rPr>
        <w:t xml:space="preserve">Renewable Energy Usage:</w:t>
      </w:r>
      <w:r>
        <w:t xml:space="preserve"> </w:t>
      </w:r>
      <w:r>
        <w:t xml:space="preserve">50% (Illustrative value for `ptdujmhvli`)</w:t>
      </w:r>
    </w:p>
    <w:p>
      <w:pPr>
        <w:numPr>
          <w:ilvl w:val="0"/>
          <w:numId w:val="1002"/>
        </w:numPr>
        <w:pStyle w:val="Compact"/>
      </w:pPr>
      <w:r>
        <w:rPr>
          <w:bCs/>
          <w:b/>
        </w:rPr>
        <w:t xml:space="preserve">Non-renewable Electricity Consumption:</w:t>
      </w:r>
      <w:r>
        <w:t xml:space="preserve"> </w:t>
      </w:r>
      <w:r>
        <w:t xml:space="preserve">15 kWh/unit * (1 - 0.50) = 7.5 kWh/unit</w:t>
      </w:r>
    </w:p>
    <w:p>
      <w:pPr>
        <w:numPr>
          <w:ilvl w:val="0"/>
          <w:numId w:val="1002"/>
        </w:numPr>
        <w:pStyle w:val="Compact"/>
      </w:pPr>
      <w:r>
        <w:rPr>
          <w:bCs/>
          <w:b/>
        </w:rPr>
        <w:t xml:space="preserve">Assumed China Grid Emission Factor:</w:t>
      </w:r>
      <w:r>
        <w:t xml:space="preserve"> </w:t>
      </w:r>
      <w:r>
        <w:t xml:space="preserve">0.6205 kg CO2e/kWh (2023 national average)</w:t>
      </w:r>
    </w:p>
    <w:p>
      <w:pPr>
        <w:numPr>
          <w:ilvl w:val="0"/>
          <w:numId w:val="1002"/>
        </w:numPr>
        <w:pStyle w:val="Compact"/>
      </w:pPr>
      <w:r>
        <w:rPr>
          <w:bCs/>
          <w:b/>
        </w:rPr>
        <w:t xml:space="preserve">Assumed Renewable Energy Emission Factor:</w:t>
      </w:r>
      <w:r>
        <w:t xml:space="preserve"> </w:t>
      </w:r>
      <w:r>
        <w:t xml:space="preserve">0.0 kg CO2e/kWh (assuming truly green electricity, e.g., direct solar/wind)</w:t>
      </w:r>
    </w:p>
    <w:bookmarkEnd w:id="29"/>
    <w:bookmarkStart w:id="30" w:name="X2c5c18a900efdb073ddd5da42b1da5f305898a4"/>
    <w:p>
      <w:pPr>
        <w:pStyle w:val="Heading3"/>
      </w:pPr>
      <w:r>
        <w:t xml:space="preserve">2.3 Transportation &amp; Distribution (Scope 3, Category 4)</w:t>
      </w:r>
    </w:p>
    <w:p>
      <w:pPr>
        <w:pStyle w:val="FirstParagraph"/>
      </w:pPr>
      <w:r>
        <w:t xml:space="preserve">This covers both inbound logistics for raw materials to the China factory and outbound logistics for the finished product to the market, along with last-mile delivery.</w:t>
      </w:r>
    </w:p>
    <w:p>
      <w:pPr>
        <w:numPr>
          <w:ilvl w:val="0"/>
          <w:numId w:val="1003"/>
        </w:numPr>
        <w:pStyle w:val="Compact"/>
      </w:pPr>
      <w:r>
        <w:rPr>
          <w:bCs/>
          <w:b/>
        </w:rPr>
        <w:t xml:space="preserve">Inbound Raw Material Transport:</w:t>
      </w:r>
    </w:p>
    <w:p>
      <w:pPr>
        <w:numPr>
          <w:ilvl w:val="1"/>
          <w:numId w:val="1004"/>
        </w:numPr>
        <w:pStyle w:val="Compact"/>
      </w:pPr>
      <w:r>
        <w:t xml:space="preserve">Assumed Mode: Road freight (Heavy Duty Truck)</w:t>
      </w:r>
    </w:p>
    <w:p>
      <w:pPr>
        <w:numPr>
          <w:ilvl w:val="1"/>
          <w:numId w:val="1004"/>
        </w:numPr>
        <w:pStyle w:val="Compact"/>
      </w:pPr>
      <w:r>
        <w:t xml:space="preserve">Assumed Distance: 2000 km (representative for Europe-focused supply chain to China factory)</w:t>
      </w:r>
    </w:p>
    <w:p>
      <w:pPr>
        <w:numPr>
          <w:ilvl w:val="1"/>
          <w:numId w:val="1004"/>
        </w:numPr>
        <w:pStyle w:val="Compact"/>
      </w:pPr>
      <w:r>
        <w:t xml:space="preserve">Assumed Product Mass for Inbound: 1.6 kg (sum of BOM item quantities: 0.8+0.5+0.1+0.2)</w:t>
      </w:r>
    </w:p>
    <w:p>
      <w:pPr>
        <w:numPr>
          <w:ilvl w:val="1"/>
          <w:numId w:val="1004"/>
        </w:numPr>
        <w:pStyle w:val="Compact"/>
      </w:pPr>
      <w:r>
        <w:t xml:space="preserve">Emission Factor (Road Freight): 0.09 kg CO2e/tonne-km (illustrative, industry-standard principle)</w:t>
      </w:r>
    </w:p>
    <w:p>
      <w:pPr>
        <w:numPr>
          <w:ilvl w:val="0"/>
          <w:numId w:val="1003"/>
        </w:numPr>
        <w:pStyle w:val="Compact"/>
      </w:pPr>
      <w:r>
        <w:rPr>
          <w:bCs/>
          <w:b/>
        </w:rPr>
        <w:t xml:space="preserve">Outbound Finished Product Transport:</w:t>
      </w:r>
    </w:p>
    <w:p>
      <w:pPr>
        <w:numPr>
          <w:ilvl w:val="1"/>
          <w:numId w:val="1005"/>
        </w:numPr>
        <w:pStyle w:val="Compact"/>
      </w:pPr>
      <w:r>
        <w:t xml:space="preserve">Mode: Road freight (Heavy Duty Truck) (Illustrative value for `Select Mode`)</w:t>
      </w:r>
    </w:p>
    <w:p>
      <w:pPr>
        <w:numPr>
          <w:ilvl w:val="1"/>
          <w:numId w:val="1005"/>
        </w:numPr>
        <w:pStyle w:val="Compact"/>
      </w:pPr>
      <w:r>
        <w:t xml:space="preserve">Distance: 1500 km (Illustrative value for `qeeekouuns`)</w:t>
      </w:r>
    </w:p>
    <w:p>
      <w:pPr>
        <w:numPr>
          <w:ilvl w:val="1"/>
          <w:numId w:val="1005"/>
        </w:numPr>
        <w:pStyle w:val="Compact"/>
      </w:pPr>
      <w:r>
        <w:t xml:space="preserve">Product Mass: 1.6 kg</w:t>
      </w:r>
    </w:p>
    <w:p>
      <w:pPr>
        <w:numPr>
          <w:ilvl w:val="1"/>
          <w:numId w:val="1005"/>
        </w:numPr>
        <w:pStyle w:val="Compact"/>
      </w:pPr>
      <w:r>
        <w:t xml:space="preserve">Emission Factor (Road Freight): 0.09 kg CO2e/tonne-km</w:t>
      </w:r>
    </w:p>
    <w:p>
      <w:pPr>
        <w:numPr>
          <w:ilvl w:val="0"/>
          <w:numId w:val="1003"/>
        </w:numPr>
        <w:pStyle w:val="Compact"/>
      </w:pPr>
      <w:r>
        <w:rPr>
          <w:bCs/>
          <w:b/>
        </w:rPr>
        <w:t xml:space="preserve">Last-Mile Delivery:</w:t>
      </w:r>
    </w:p>
    <w:p>
      <w:pPr>
        <w:numPr>
          <w:ilvl w:val="1"/>
          <w:numId w:val="1006"/>
        </w:numPr>
        <w:pStyle w:val="Compact"/>
      </w:pPr>
      <w:r>
        <w:t xml:space="preserve">Channel: Parcel Delivery Van (Illustrative value for `Delivery Type`)</w:t>
      </w:r>
    </w:p>
    <w:p>
      <w:pPr>
        <w:numPr>
          <w:ilvl w:val="1"/>
          <w:numId w:val="1006"/>
        </w:numPr>
        <w:pStyle w:val="Compact"/>
      </w:pPr>
      <w:r>
        <w:t xml:space="preserve">Assumed Distance: 50 km (representative for local distribution)</w:t>
      </w:r>
    </w:p>
    <w:p>
      <w:pPr>
        <w:numPr>
          <w:ilvl w:val="1"/>
          <w:numId w:val="1006"/>
        </w:numPr>
        <w:pStyle w:val="Compact"/>
      </w:pPr>
      <w:r>
        <w:t xml:space="preserve">Emission Factor (Parcel Van): 0.20 kg CO2e/km (illustrative, per km for light product)</w:t>
      </w:r>
    </w:p>
    <w:bookmarkEnd w:id="30"/>
    <w:bookmarkStart w:id="31" w:name="use-phase-scope-3-category-11"/>
    <w:p>
      <w:pPr>
        <w:pStyle w:val="Heading3"/>
      </w:pPr>
      <w:r>
        <w:t xml:space="preserve">2.4 Use Phase (Scope 3, Category 11)</w:t>
      </w:r>
    </w:p>
    <w:p>
      <w:pPr>
        <w:pStyle w:val="FirstParagraph"/>
      </w:pPr>
      <w:r>
        <w:t xml:space="preserve">The use phase accounts for energy consumed by the product during its lifespan.</w:t>
      </w:r>
    </w:p>
    <w:p>
      <w:pPr>
        <w:numPr>
          <w:ilvl w:val="0"/>
          <w:numId w:val="1007"/>
        </w:numPr>
        <w:pStyle w:val="Compact"/>
      </w:pPr>
      <w:r>
        <w:rPr>
          <w:bCs/>
          <w:b/>
        </w:rPr>
        <w:t xml:space="preserve">Product Lifespan:</w:t>
      </w:r>
      <w:r>
        <w:t xml:space="preserve"> </w:t>
      </w:r>
      <w:r>
        <w:t xml:space="preserve">5 years (Illustrative value for `enrqjtnmwu`)</w:t>
      </w:r>
    </w:p>
    <w:p>
      <w:pPr>
        <w:numPr>
          <w:ilvl w:val="0"/>
          <w:numId w:val="1007"/>
        </w:numPr>
        <w:pStyle w:val="Compact"/>
      </w:pPr>
      <w:r>
        <w:rPr>
          <w:bCs/>
          <w:b/>
        </w:rPr>
        <w:t xml:space="preserve">Energy Consumption in Use:</w:t>
      </w:r>
      <w:r>
        <w:t xml:space="preserve"> </w:t>
      </w:r>
      <w:r>
        <w:t xml:space="preserve">10 kWh/year (Illustrative value for `ohyssssnzd`)</w:t>
      </w:r>
    </w:p>
    <w:p>
      <w:pPr>
        <w:numPr>
          <w:ilvl w:val="0"/>
          <w:numId w:val="1007"/>
        </w:numPr>
        <w:pStyle w:val="Compact"/>
      </w:pPr>
      <w:r>
        <w:rPr>
          <w:bCs/>
          <w:b/>
        </w:rPr>
        <w:t xml:space="preserve">Total Energy Consumption:</w:t>
      </w:r>
      <w:r>
        <w:t xml:space="preserve"> </w:t>
      </w:r>
      <w:r>
        <w:t xml:space="preserve">10 kWh/year * 5 years = 50 kWh</w:t>
      </w:r>
    </w:p>
    <w:p>
      <w:pPr>
        <w:numPr>
          <w:ilvl w:val="0"/>
          <w:numId w:val="1007"/>
        </w:numPr>
        <w:pStyle w:val="Compact"/>
      </w:pPr>
      <w:r>
        <w:rPr>
          <w:bCs/>
          <w:b/>
        </w:rPr>
        <w:t xml:space="preserve">Assumed User\'s Electricity Grid Emission Factor:</w:t>
      </w:r>
      <w:r>
        <w:t xml:space="preserve"> </w:t>
      </w:r>
      <w:r>
        <w:t xml:space="preserve">0.6205 kg CO2e/kWh (assuming use in China, consistent with production)</w:t>
      </w:r>
    </w:p>
    <w:bookmarkEnd w:id="31"/>
    <w:bookmarkStart w:id="32" w:name="end-of-life-eol-scope-3-category-12"/>
    <w:p>
      <w:pPr>
        <w:pStyle w:val="Heading3"/>
      </w:pPr>
      <w:r>
        <w:t xml:space="preserve">2.5 End-of-Life (EoL) (Scope 3, Category 12)</w:t>
      </w:r>
    </w:p>
    <w:p>
      <w:pPr>
        <w:pStyle w:val="FirstParagraph"/>
      </w:pPr>
      <w:r>
        <w:t xml:space="preserve">EoL scenarios consider the recyclability and circular economy initiatives.</w:t>
      </w:r>
    </w:p>
    <w:p>
      <w:pPr>
        <w:numPr>
          <w:ilvl w:val="0"/>
          <w:numId w:val="1008"/>
        </w:numPr>
        <w:pStyle w:val="Compact"/>
      </w:pPr>
      <w:r>
        <w:rPr>
          <w:bCs/>
          <w:b/>
        </w:rPr>
        <w:t xml:space="preserve">Recyclability Percentage:</w:t>
      </w:r>
      <w:r>
        <w:t xml:space="preserve"> </w:t>
      </w:r>
      <w:r>
        <w:t xml:space="preserve">70% (Illustrative value for `kprdwkhkjl`)</w:t>
      </w:r>
    </w:p>
    <w:p>
      <w:pPr>
        <w:numPr>
          <w:ilvl w:val="0"/>
          <w:numId w:val="1008"/>
        </w:numPr>
        <w:pStyle w:val="Compact"/>
      </w:pPr>
      <w:r>
        <w:rPr>
          <w:bCs/>
          <w:b/>
        </w:rPr>
        <w:t xml:space="preserve">Circular/Take-back Programs:</w:t>
      </w:r>
      <w:r>
        <w:t xml:space="preserve"> </w:t>
      </w:r>
      <w:r>
        <w:t xml:space="preserve">Yes (Product Refurbishment) (Illustrative value for `enrledtyet`)</w:t>
      </w:r>
    </w:p>
    <w:p>
      <w:pPr>
        <w:numPr>
          <w:ilvl w:val="0"/>
          <w:numId w:val="1008"/>
        </w:numPr>
        <w:pStyle w:val="Compact"/>
      </w:pPr>
      <w:r>
        <w:rPr>
          <w:bCs/>
          <w:b/>
        </w:rPr>
        <w:t xml:space="preserve">Product Mass:</w:t>
      </w:r>
      <w:r>
        <w:t xml:space="preserve"> </w:t>
      </w:r>
      <w:r>
        <w:t xml:space="preserve">1.6 kg</w:t>
      </w:r>
    </w:p>
    <w:p>
      <w:pPr>
        <w:numPr>
          <w:ilvl w:val="0"/>
          <w:numId w:val="1008"/>
        </w:numPr>
        <w:pStyle w:val="Compact"/>
      </w:pPr>
      <w:r>
        <w:rPr>
          <w:bCs/>
          <w:b/>
        </w:rPr>
        <w:t xml:space="preserve">Disposed Mass:</w:t>
      </w:r>
      <w:r>
        <w:t xml:space="preserve"> </w:t>
      </w:r>
      <w:r>
        <w:t xml:space="preserve">1.6 kg * (1 - 0.70) = 0.48 kg</w:t>
      </w:r>
    </w:p>
    <w:p>
      <w:pPr>
        <w:numPr>
          <w:ilvl w:val="0"/>
          <w:numId w:val="1008"/>
        </w:numPr>
        <w:pStyle w:val="Compact"/>
      </w:pPr>
      <w:r>
        <w:rPr>
          <w:bCs/>
          <w:b/>
        </w:rPr>
        <w:t xml:space="preserve">Recycled Mass:</w:t>
      </w:r>
      <w:r>
        <w:t xml:space="preserve"> </w:t>
      </w:r>
      <w:r>
        <w:t xml:space="preserve">1.6 kg * 0.70 = 1.12 kg</w:t>
      </w:r>
    </w:p>
    <w:p>
      <w:pPr>
        <w:numPr>
          <w:ilvl w:val="0"/>
          <w:numId w:val="1008"/>
        </w:numPr>
        <w:pStyle w:val="Compact"/>
      </w:pPr>
      <w:r>
        <w:rPr>
          <w:bCs/>
          <w:b/>
        </w:rPr>
        <w:t xml:space="preserve">Assumed Emission Factor for Landfill/Incineration:</w:t>
      </w:r>
      <w:r>
        <w:t xml:space="preserve"> </w:t>
      </w:r>
      <w:r>
        <w:t xml:space="preserve">1.0 kg CO2e/kg (illustrative for non-recyclable waste)</w:t>
      </w:r>
    </w:p>
    <w:p>
      <w:pPr>
        <w:numPr>
          <w:ilvl w:val="0"/>
          <w:numId w:val="1008"/>
        </w:numPr>
        <w:pStyle w:val="Compact"/>
      </w:pPr>
      <w:r>
        <w:rPr>
          <w:bCs/>
          <w:b/>
        </w:rPr>
        <w:t xml:space="preserve">Assumed Credit for Recycling (avoided emissions):</w:t>
      </w:r>
      <w:r>
        <w:t xml:space="preserve"> </w:t>
      </w:r>
      <w:r>
        <w:t xml:space="preserve">-2.0 kg CO2e/kg (illustrative, varies by material and avoided primary production)</w:t>
      </w:r>
    </w:p>
    <w:p>
      <w:pPr>
        <w:numPr>
          <w:ilvl w:val="0"/>
          <w:numId w:val="1008"/>
        </w:numPr>
        <w:pStyle w:val="Compact"/>
      </w:pPr>
      <w:r>
        <w:rPr>
          <w:bCs/>
          <w:b/>
        </w:rPr>
        <w:t xml:space="preserve">Assumed Benefit from Refurbishment:</w:t>
      </w:r>
      <w:r>
        <w:t xml:space="preserve"> </w:t>
      </w:r>
      <w:r>
        <w:t xml:space="preserve">-0.5 kg CO2e/unit (illustrative, representing avoided new production emissions)</w:t>
      </w:r>
    </w:p>
    <w:p>
      <w:r>
        <w:pict>
          <v:rect style="width:0;height:1.5pt" o:hralign="center" o:hrstd="t" o:hr="t"/>
        </w:pict>
      </w:r>
    </w:p>
    <w:bookmarkEnd w:id="32"/>
    <w:bookmarkEnd w:id="33"/>
    <w:bookmarkStart w:id="35" w:name="calculate-emissions"/>
    <w:p>
      <w:pPr>
        <w:pStyle w:val="Heading2"/>
      </w:pPr>
      <w:r>
        <w:t xml:space="preserve">4. Calculate Emissions</w:t>
      </w:r>
    </w:p>
    <w:p>
      <w:pPr>
        <w:pStyle w:val="FirstParagraph"/>
      </w:pPr>
      <w:r>
        <w:t xml:space="preserve">Calculations are performed based on the activity data and emission factors outlined above. All results are presented in kg CO2e per functional unit.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Calculated Emissions (kg CO2e)</w:t>
            </w:r>
          </w:p>
        </w:tc>
        <w:tc>
          <w:tcPr/>
          <w:p>
            <w:pPr>
              <w:pStyle w:val="Compact"/>
              <w:jc w:val="left"/>
            </w:pPr>
            <w:r>
              <w:t xml:space="preserve">Notes</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11.50</w:t>
            </w:r>
          </w:p>
        </w:tc>
        <w:tc>
          <w:tcPr/>
          <w:p>
            <w:pPr>
              <w:pStyle w:val="Compact"/>
              <w:jc w:val="left"/>
            </w:pPr>
            <w:r>
              <w:t xml:space="preserve">Based on BOM data.</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4.65</w:t>
            </w:r>
          </w:p>
        </w:tc>
        <w:tc>
          <w:tcPr/>
          <w:p>
            <w:pPr>
              <w:pStyle w:val="Compact"/>
              <w:jc w:val="left"/>
            </w:pPr>
            <w:r>
              <w:t xml:space="preserve">Adjusted for renewable energy usage.</w:t>
            </w:r>
          </w:p>
        </w:tc>
      </w:tr>
      <w:tr>
        <w:tc>
          <w:tcPr/>
          <w:p>
            <w:pPr>
              <w:pStyle w:val="Compact"/>
              <w:jc w:val="left"/>
            </w:pPr>
            <w:r>
              <w:t xml:space="preserve">Transportation - Inbound Raw Materials</w:t>
            </w:r>
          </w:p>
        </w:tc>
        <w:tc>
          <w:tcPr/>
          <w:p>
            <w:pPr>
              <w:pStyle w:val="Compact"/>
              <w:jc w:val="left"/>
            </w:pPr>
            <w:r>
              <w:t xml:space="preserve">Scope 3, Category 4</w:t>
            </w:r>
          </w:p>
        </w:tc>
        <w:tc>
          <w:tcPr/>
          <w:p>
            <w:pPr>
              <w:pStyle w:val="Compact"/>
              <w:jc w:val="left"/>
            </w:pPr>
            <w:r>
              <w:t xml:space="preserve">0.29</w:t>
            </w:r>
          </w:p>
        </w:tc>
        <w:tc>
          <w:tcPr/>
          <w:p>
            <w:pPr>
              <w:pStyle w:val="Compact"/>
              <w:jc w:val="left"/>
            </w:pPr>
            <w:r>
              <w:t xml:space="preserve">Illustrative distance and mode.</w:t>
            </w:r>
          </w:p>
        </w:tc>
      </w:tr>
      <w:tr>
        <w:tc>
          <w:tcPr/>
          <w:p>
            <w:pPr>
              <w:pStyle w:val="Compact"/>
              <w:jc w:val="left"/>
            </w:pPr>
            <w:r>
              <w:t xml:space="preserve">Transportation - Outbound Finished Product</w:t>
            </w:r>
          </w:p>
        </w:tc>
        <w:tc>
          <w:tcPr/>
          <w:p>
            <w:pPr>
              <w:pStyle w:val="Compact"/>
              <w:jc w:val="left"/>
            </w:pPr>
            <w:r>
              <w:t xml:space="preserve">Scope 3, Category 4</w:t>
            </w:r>
          </w:p>
        </w:tc>
        <w:tc>
          <w:tcPr/>
          <w:p>
            <w:pPr>
              <w:pStyle w:val="Compact"/>
              <w:jc w:val="left"/>
            </w:pPr>
            <w:r>
              <w:t xml:space="preserve">0.22</w:t>
            </w:r>
          </w:p>
        </w:tc>
        <w:tc>
          <w:tcPr/>
          <w:p>
            <w:pPr>
              <w:pStyle w:val="Compact"/>
              <w:jc w:val="left"/>
            </w:pPr>
            <w:r>
              <w:t xml:space="preserve">Illustrative distance and mode.</w:t>
            </w:r>
          </w:p>
        </w:tc>
      </w:tr>
      <w:tr>
        <w:tc>
          <w:tcPr/>
          <w:p>
            <w:pPr>
              <w:pStyle w:val="Compact"/>
              <w:jc w:val="left"/>
            </w:pPr>
            <w:r>
              <w:t xml:space="preserve">Transportation - Last-Mile Delivery</w:t>
            </w:r>
          </w:p>
        </w:tc>
        <w:tc>
          <w:tcPr/>
          <w:p>
            <w:pPr>
              <w:pStyle w:val="Compact"/>
              <w:jc w:val="left"/>
            </w:pPr>
            <w:r>
              <w:t xml:space="preserve">Scope 3, Category 4</w:t>
            </w:r>
          </w:p>
        </w:tc>
        <w:tc>
          <w:tcPr/>
          <w:p>
            <w:pPr>
              <w:pStyle w:val="Compact"/>
              <w:jc w:val="left"/>
            </w:pPr>
            <w:r>
              <w:t xml:space="preserve">10.00</w:t>
            </w:r>
          </w:p>
        </w:tc>
        <w:tc>
          <w:tcPr/>
          <w:p>
            <w:pPr>
              <w:pStyle w:val="Compact"/>
              <w:jc w:val="left"/>
            </w:pPr>
            <w:r>
              <w:t xml:space="preserve">Illustrative distance and mode.</w:t>
            </w:r>
          </w:p>
        </w:tc>
      </w:tr>
      <w:tr>
        <w:tc>
          <w:tcPr/>
          <w:p>
            <w:pPr>
              <w:pStyle w:val="Compact"/>
              <w:jc w:val="left"/>
            </w:pPr>
            <w:r>
              <w:t xml:space="preserve">Use Phase (Energy Consumption)</w:t>
            </w:r>
          </w:p>
        </w:tc>
        <w:tc>
          <w:tcPr/>
          <w:p>
            <w:pPr>
              <w:pStyle w:val="Compact"/>
              <w:jc w:val="left"/>
            </w:pPr>
            <w:r>
              <w:t xml:space="preserve">Scope 3, Category 11</w:t>
            </w:r>
          </w:p>
        </w:tc>
        <w:tc>
          <w:tcPr/>
          <w:p>
            <w:pPr>
              <w:pStyle w:val="Compact"/>
              <w:jc w:val="left"/>
            </w:pPr>
            <w:r>
              <w:t xml:space="preserve">31.03</w:t>
            </w:r>
          </w:p>
        </w:tc>
        <w:tc>
          <w:tcPr/>
          <w:p>
            <w:pPr>
              <w:pStyle w:val="Compact"/>
              <w:jc w:val="left"/>
            </w:pPr>
            <w:r>
              <w:t xml:space="preserve">Calculated over product lifespan.</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-1.72</w:t>
            </w:r>
          </w:p>
        </w:tc>
        <w:tc>
          <w:tcPr/>
          <w:p>
            <w:pPr>
              <w:pStyle w:val="Compact"/>
              <w:jc w:val="left"/>
            </w:pPr>
            <w:r>
              <w:t xml:space="preserve">Includes recycling credits and refurbishment benefits.</w:t>
            </w:r>
          </w:p>
        </w:tc>
      </w:tr>
      <w:tr>
        <w:tc>
          <w:tcPr>
            <w:gridSpan w:val="2"/>
          </w:tcPr>
          <w:p>
            <w:pPr>
              <w:pStyle w:val="Compact"/>
              <w:jc w:val="right"/>
            </w:pPr>
            <w:r>
              <w:t xml:space="preserve">Total Product Carbon Footprint:</w:t>
            </w:r>
          </w:p>
        </w:tc>
        <w:tc>
          <w:tcPr/>
          <w:p>
            <w:pPr>
              <w:pStyle w:val="Compact"/>
              <w:jc w:val="left"/>
            </w:pPr>
            <w:r>
              <w:t xml:space="preserve">55.97</w:t>
            </w:r>
          </w:p>
        </w:tc>
        <w:tc>
          <w:tcPr/>
          <w:p>
            <w:pPr>
              <w:pStyle w:val="Compact"/>
            </w:pPr>
          </w:p>
        </w:tc>
      </w:tr>
    </w:tbl>
    <w:bookmarkStart w:id="34" w:name="ghg-protocol-scope-breakdown"/>
    <w:p>
      <w:pPr>
        <w:pStyle w:val="Heading3"/>
      </w:pPr>
      <w:r>
        <w:t xml:space="preserve">GHG Protocol Scope Breakdown:</w:t>
      </w:r>
    </w:p>
    <w:p>
      <w:pPr>
        <w:numPr>
          <w:ilvl w:val="0"/>
          <w:numId w:val="1009"/>
        </w:numPr>
        <w:pStyle w:val="Compact"/>
      </w:pPr>
      <w:r>
        <w:rPr>
          <w:bCs/>
          <w:b/>
        </w:rPr>
        <w:t xml:space="preserve">Scope 1 Emissions:</w:t>
      </w:r>
      <w:r>
        <w:t xml:space="preserve"> </w:t>
      </w:r>
      <w:r>
        <w:t xml:space="preserve">0.00 kg CO2e (Assumed negligible for direct product-level analysis)</w:t>
      </w:r>
    </w:p>
    <w:p>
      <w:pPr>
        <w:numPr>
          <w:ilvl w:val="0"/>
          <w:numId w:val="1009"/>
        </w:numPr>
        <w:pStyle w:val="Compact"/>
      </w:pPr>
      <w:r>
        <w:rPr>
          <w:bCs/>
          <w:b/>
        </w:rPr>
        <w:t xml:space="preserve">Scope 2 Emissions:</w:t>
      </w:r>
      <w:r>
        <w:t xml:space="preserve"> </w:t>
      </w:r>
      <w:r>
        <w:t xml:space="preserve">4.65 kg CO2e</w:t>
      </w:r>
    </w:p>
    <w:p>
      <w:pPr>
        <w:numPr>
          <w:ilvl w:val="0"/>
          <w:numId w:val="1009"/>
        </w:numPr>
        <w:pStyle w:val="Compact"/>
      </w:pPr>
      <w:r>
        <w:rPr>
          <w:bCs/>
          <w:b/>
        </w:rPr>
        <w:t xml:space="preserve">Scope 3 Emissions:</w:t>
      </w:r>
      <w:r>
        <w:t xml:space="preserve"> </w:t>
      </w:r>
      <w:r>
        <w:t xml:space="preserve">51.32 kg CO2e</w:t>
      </w:r>
    </w:p>
    <w:p>
      <w:pPr>
        <w:pStyle w:val="FirstParagraph"/>
      </w:pPr>
      <w:r>
        <w:t xml:space="preserve">Total Scope 3 coverage in this report is estimated to be greater than 95%, fulfilling the 2026 GHG Protocol requirements by encompassing all major upstream and downstream value chain emissions.</w:t>
      </w:r>
    </w:p>
    <w:p>
      <w:r>
        <w:pict>
          <v:rect style="width:0;height:1.5pt" o:hralign="center" o:hrstd="t" o:hr="t"/>
        </w:pict>
      </w:r>
    </w:p>
    <w:bookmarkEnd w:id="34"/>
    <w:bookmarkEnd w:id="35"/>
    <w:bookmarkStart w:id="39" w:name="review-report"/>
    <w:p>
      <w:pPr>
        <w:pStyle w:val="Heading2"/>
      </w:pPr>
      <w:r>
        <w:t xml:space="preserve">5. Review &amp; Report</w:t>
      </w:r>
    </w:p>
    <w:bookmarkStart w:id="36" w:name="hotspots-identification"/>
    <w:p>
      <w:pPr>
        <w:pStyle w:val="Heading3"/>
      </w:pPr>
      <w:r>
        <w:t xml:space="preserve">5.1 Hotspots Identification</w:t>
      </w:r>
    </w:p>
    <w:p>
      <w:pPr>
        <w:pStyle w:val="FirstParagraph"/>
      </w:pPr>
      <w:r>
        <w:t xml:space="preserve">Based on the calculations, the primary carbon hotspots for</w:t>
      </w:r>
      <w:r>
        <w:t xml:space="preserve"> </w:t>
      </w:r>
      <w:r>
        <w:rPr>
          <w:bCs/>
          <w:b/>
        </w:rPr>
        <w:t xml:space="preserve">mzkjinkwuj</w:t>
      </w:r>
      <w:r>
        <w:t xml:space="preserve"> </w:t>
      </w:r>
      <w:r>
        <w:t xml:space="preserve">are:</w:t>
      </w:r>
    </w:p>
    <w:p>
      <w:pPr>
        <w:numPr>
          <w:ilvl w:val="0"/>
          <w:numId w:val="1010"/>
        </w:numPr>
        <w:pStyle w:val="Compact"/>
      </w:pPr>
      <w:r>
        <w:rPr>
          <w:bCs/>
          <w:b/>
        </w:rPr>
        <w:t xml:space="preserve">Use Phase Energy Consumption (31.03 kg CO2e):</w:t>
      </w:r>
      <w:r>
        <w:t xml:space="preserve"> </w:t>
      </w:r>
      <w:r>
        <w:t xml:space="preserve">This is the most significant contributor to the product\'s footprint over its 5-year illustrative lifespan, highlighting the need for highly energy-efficient designs.</w:t>
      </w:r>
    </w:p>
    <w:p>
      <w:pPr>
        <w:numPr>
          <w:ilvl w:val="0"/>
          <w:numId w:val="1010"/>
        </w:numPr>
        <w:pStyle w:val="Compact"/>
      </w:pPr>
      <w:r>
        <w:rPr>
          <w:bCs/>
          <w:b/>
        </w:rPr>
        <w:t xml:space="preserve">Raw Material Acquisition (11.50 kg CO2e):</w:t>
      </w:r>
      <w:r>
        <w:t xml:space="preserve"> </w:t>
      </w:r>
      <w:r>
        <w:t xml:space="preserve">Representing a substantial portion of the footprint due to the energy-intensive nature of materials like aluminum, plastics, and electronics.</w:t>
      </w:r>
    </w:p>
    <w:p>
      <w:pPr>
        <w:numPr>
          <w:ilvl w:val="0"/>
          <w:numId w:val="1010"/>
        </w:numPr>
        <w:pStyle w:val="Compact"/>
      </w:pPr>
      <w:r>
        <w:rPr>
          <w:bCs/>
          <w:b/>
        </w:rPr>
        <w:t xml:space="preserve">Last-Mile Delivery (10.00 kg CO2e):</w:t>
      </w:r>
      <w:r>
        <w:t xml:space="preserve"> </w:t>
      </w:r>
      <w:r>
        <w:t xml:space="preserve">The emissions from the final leg of product delivery are notably high, indicating opportunities for optimizing local logistics.</w:t>
      </w:r>
    </w:p>
    <w:p>
      <w:pPr>
        <w:numPr>
          <w:ilvl w:val="0"/>
          <w:numId w:val="1010"/>
        </w:numPr>
        <w:pStyle w:val="Compact"/>
      </w:pPr>
      <w:r>
        <w:rPr>
          <w:bCs/>
          <w:b/>
        </w:rPr>
        <w:t xml:space="preserve">Manufacturing (Purchased Electricity) (4.65 kg CO2e):</w:t>
      </w:r>
      <w:r>
        <w:t xml:space="preserve"> </w:t>
      </w:r>
      <w:r>
        <w:t xml:space="preserve">Even with 50% renewable energy, the remaining grid electricity from China contributes substantially.</w:t>
      </w:r>
    </w:p>
    <w:p>
      <w:pPr>
        <w:pStyle w:val="FirstParagraph"/>
      </w:pPr>
      <w:r>
        <w:t xml:space="preserve">These areas present the most impactful opportunities for</w:t>
      </w:r>
      <w:r>
        <w:t xml:space="preserve"> </w:t>
      </w:r>
      <w:r>
        <w:rPr>
          <w:bCs/>
          <w:b/>
        </w:rPr>
        <w:t xml:space="preserve">fnpojkwydy</w:t>
      </w:r>
      <w:r>
        <w:t xml:space="preserve"> </w:t>
      </w:r>
      <w:r>
        <w:t xml:space="preserve">to reduce the product\'s overall carbon footprint.</w:t>
      </w:r>
    </w:p>
    <w:bookmarkEnd w:id="36"/>
    <w:bookmarkStart w:id="37" w:name="reliability-and-data-limitations"/>
    <w:p>
      <w:pPr>
        <w:pStyle w:val="Heading3"/>
      </w:pPr>
      <w:r>
        <w:t xml:space="preserve">5.2 Reliability and Data Limitations</w:t>
      </w:r>
    </w:p>
    <w:p>
      <w:pPr>
        <w:pStyle w:val="FirstParagraph"/>
      </w:pPr>
      <w:r>
        <w:t xml:space="preserve">The reliability of this PCF analysis is high regarding the methodology and adherence to the GHG Protocol. However, it is important to acknowledge the following data limitations:</w:t>
      </w:r>
    </w:p>
    <w:p>
      <w:pPr>
        <w:numPr>
          <w:ilvl w:val="0"/>
          <w:numId w:val="1011"/>
        </w:numPr>
        <w:pStyle w:val="Compact"/>
      </w:pPr>
      <w:r>
        <w:rPr>
          <w:bCs/>
          <w:b/>
        </w:rPr>
        <w:t xml:space="preserve">Placeholder Data:</w:t>
      </w:r>
      <w:r>
        <w:t xml:space="preserve"> </w:t>
      </w:r>
      <w:r>
        <w:t xml:space="preserve">Several input parameters (e.g., `Transport Mode`, `Transport Distance`, `Energy Consumption in Use`) were provided as illustrative placeholders. The accuracy of the quantitative results is directly dependent on replacing these with precise, product-specific values.</w:t>
      </w:r>
    </w:p>
    <w:p>
      <w:pPr>
        <w:numPr>
          <w:ilvl w:val="0"/>
          <w:numId w:val="1011"/>
        </w:numPr>
        <w:pStyle w:val="Compact"/>
      </w:pPr>
      <w:r>
        <w:rPr>
          <w:bCs/>
          <w:b/>
        </w:rPr>
        <w:t xml:space="preserve">Generic Emission Factors:</w:t>
      </w:r>
      <w:r>
        <w:t xml:space="preserve"> </w:t>
      </w:r>
      <w:r>
        <w:t xml:space="preserve">While industry-standard principles (e.g., Ecoinvent/DEFRA) were followed for emission factors not explicitly provided in the BOM, generic averages were used. Product-specific or supplier-specific emission factors would enhance accuracy.</w:t>
      </w:r>
    </w:p>
    <w:p>
      <w:pPr>
        <w:numPr>
          <w:ilvl w:val="0"/>
          <w:numId w:val="1011"/>
        </w:numPr>
        <w:pStyle w:val="Compact"/>
      </w:pPr>
      <w:r>
        <w:rPr>
          <w:bCs/>
          <w:b/>
        </w:rPr>
        <w:t xml:space="preserve">LSR Standard Application:</w:t>
      </w:r>
      <w:r>
        <w:t xml:space="preserve"> </w:t>
      </w:r>
      <w:r>
        <w:t xml:space="preserve">The 2026 Land Sector and Removals (LSR) Standard principles are acknowledged. However, without specific land-use change data related to raw material sourcing or manufacturing sites, direct quantification of land-related emissions/removals for this product is not performed.</w:t>
      </w:r>
    </w:p>
    <w:bookmarkEnd w:id="37"/>
    <w:bookmarkStart w:id="38" w:name="recommendations-for-improvement"/>
    <w:p>
      <w:pPr>
        <w:pStyle w:val="Heading3"/>
      </w:pPr>
      <w:r>
        <w:t xml:space="preserve">Recommendations for Improvement:</w:t>
      </w:r>
    </w:p>
    <w:p>
      <w:pPr>
        <w:numPr>
          <w:ilvl w:val="0"/>
          <w:numId w:val="1012"/>
        </w:numPr>
        <w:pStyle w:val="Compact"/>
      </w:pPr>
      <w:r>
        <w:rPr>
          <w:bCs/>
          <w:b/>
        </w:rPr>
        <w:t xml:space="preserve">Material Optimization:</w:t>
      </w:r>
      <w:r>
        <w:t xml:space="preserve"> </w:t>
      </w:r>
      <w:r>
        <w:t xml:space="preserve">Explore lightweighting options, use of recycled content, or alternative lower-impact materials. Engage with suppliers to obtain primary data for material emission factors.</w:t>
      </w:r>
    </w:p>
    <w:p>
      <w:pPr>
        <w:numPr>
          <w:ilvl w:val="0"/>
          <w:numId w:val="1012"/>
        </w:numPr>
        <w:pStyle w:val="Compact"/>
      </w:pPr>
      <w:r>
        <w:rPr>
          <w:bCs/>
          <w:b/>
        </w:rPr>
        <w:t xml:space="preserve">Energy Efficiency in Use:</w:t>
      </w:r>
      <w:r>
        <w:t xml:space="preserve"> </w:t>
      </w:r>
      <w:r>
        <w:t xml:space="preserve">Design products for lower energy consumption during their operational lifetime. Educate users on energy-saving practices.</w:t>
      </w:r>
    </w:p>
    <w:p>
      <w:pPr>
        <w:numPr>
          <w:ilvl w:val="0"/>
          <w:numId w:val="1012"/>
        </w:numPr>
        <w:pStyle w:val="Compact"/>
      </w:pPr>
      <w:r>
        <w:rPr>
          <w:bCs/>
          <w:b/>
        </w:rPr>
        <w:t xml:space="preserve">Renewable Energy Sourcing:</w:t>
      </w:r>
      <w:r>
        <w:t xml:space="preserve"> </w:t>
      </w:r>
      <w:r>
        <w:t xml:space="preserve">Increase the percentage of renewable energy used in manufacturing, potentially through on-site generation or certified green energy purchases.</w:t>
      </w:r>
    </w:p>
    <w:p>
      <w:pPr>
        <w:numPr>
          <w:ilvl w:val="0"/>
          <w:numId w:val="1012"/>
        </w:numPr>
        <w:pStyle w:val="Compact"/>
      </w:pPr>
      <w:r>
        <w:rPr>
          <w:bCs/>
          <w:b/>
        </w:rPr>
        <w:t xml:space="preserve">Logistics Optimization:</w:t>
      </w:r>
      <w:r>
        <w:t xml:space="preserve"> </w:t>
      </w:r>
      <w:r>
        <w:t xml:space="preserve">Optimize transport routes, modes (e.g., shifting to rail or sea where feasible), and vehicle utilization to reduce emissions from distribution.</w:t>
      </w:r>
    </w:p>
    <w:p>
      <w:pPr>
        <w:numPr>
          <w:ilvl w:val="0"/>
          <w:numId w:val="1012"/>
        </w:numPr>
        <w:pStyle w:val="Compact"/>
      </w:pPr>
      <w:r>
        <w:rPr>
          <w:bCs/>
          <w:b/>
        </w:rPr>
        <w:t xml:space="preserve">Circular Economy Expansion:</w:t>
      </w:r>
      <w:r>
        <w:t xml:space="preserve"> </w:t>
      </w:r>
      <w:r>
        <w:t xml:space="preserve">Strengthen take-back schemes and explore further avenues for product refurbishment, reuse, and high-value recycling.</w:t>
      </w:r>
    </w:p>
    <w:p>
      <w:r>
        <w:pict>
          <v:rect style="width:0;height:1.5pt" o:hralign="center" o:hrstd="t" o:hr="t"/>
        </w:pict>
      </w:r>
    </w:p>
    <w:p>
      <w:pPr>
        <w:pStyle w:val="FirstParagraph"/>
      </w:pPr>
      <w:r>
        <w:t xml:space="preserve">Confidential - Internal Use Only | Page 1 of 1 (Dynamic content, page numbers would be handled by print output)</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mzkjinkwuj</dc:title>
  <dc:creator/>
  <dc:description>Detailed Product Carbon Footprint (PCF) analysis report for mzkjinkwuj by fnpojkwydy, adhering to GHG Protocol and 2026 LSR updates.</dc:description>
  <cp:keywords/>
  <dcterms:created xsi:type="dcterms:W3CDTF">2026-07-15T11:43:17Z</dcterms:created>
  <dcterms:modified xsi:type="dcterms:W3CDTF">2026-07-15T11:43:17Z</dcterms:modified>
</cp:coreProperties>
</file>

<file path=docProps/custom.xml><?xml version="1.0" encoding="utf-8"?>
<Properties xmlns="http://schemas.openxmlformats.org/officeDocument/2006/custom-properties" xmlns:vt="http://schemas.openxmlformats.org/officeDocument/2006/docPropsVTypes"/>
</file>