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myqgkhrwne</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myqgkhrwne"/>
    <w:p>
      <w:pPr>
        <w:pStyle w:val="Heading2"/>
      </w:pPr>
      <w:r>
        <w:t xml:space="preserve">Product: myqgkhrwne</w:t>
      </w:r>
    </w:p>
    <w:p>
      <w:pPr>
        <w:pStyle w:val="FirstParagraph"/>
      </w:pPr>
      <w:r>
        <w:t xml:space="preserve">**Protocol Data (Accounting Standard):** GHG Protocol</w:t>
      </w:r>
    </w:p>
    <w:p>
      <w:pPr>
        <w:pStyle w:val="BodyText"/>
      </w:pPr>
      <w:r>
        <w:t xml:space="preserve">**Name of the Company:** knkhdxsngg</w:t>
      </w:r>
    </w:p>
    <w:p>
      <w:pPr>
        <w:pStyle w:val="BodyText"/>
      </w:pPr>
      <w:r>
        <w:t xml:space="preserve">**Senior Sustainability Consultant:** zozoqgdklg</w:t>
      </w:r>
    </w:p>
    <w:p>
      <w:pPr>
        <w:pStyle w:val="BodyText"/>
      </w:pPr>
      <w:r>
        <w:t xml:space="preserve">*Disclaimer: This report is generated based on available data and industry standards, leveraging provided parameters.</w:t>
      </w:r>
      <w:r>
        <w:t xml:space="preserve"> </w:t>
      </w:r>
      <w:r>
        <w:t xml:space="preserve">While every effort has been made to ensure accuracy and adherence to methodological guidelines,</w:t>
      </w:r>
      <w:r>
        <w:t xml:space="preserve"> </w:t>
      </w:r>
      <w:r>
        <w:t xml:space="preserve">actual emissions may vary based on real-world complexities and data availability.*</w:t>
      </w:r>
    </w:p>
    <w:bookmarkEnd w:id="20"/>
    <w:bookmarkEnd w:id="21"/>
    <w:bookmarkStart w:id="48"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22, 2026</w:t>
      </w:r>
    </w:p>
    <w:p>
      <w:pPr>
        <w:pStyle w:val="BodyText"/>
      </w:pPr>
      <w:r>
        <w:rPr>
          <w:bCs/>
          <w:b/>
        </w:rPr>
        <w:t xml:space="preserve">Senior Sustainability Consultant:</w:t>
      </w:r>
      <w:r>
        <w:t xml:space="preserve"> </w:t>
      </w:r>
      <w:r>
        <w:t xml:space="preserve">zozoqgdklg</w:t>
      </w:r>
    </w:p>
    <w:p>
      <w:pPr>
        <w:pStyle w:val="BodyText"/>
      </w:pPr>
      <w:r>
        <w:rPr>
          <w:bCs/>
          <w:b/>
        </w:rPr>
        <w:t xml:space="preserve">Company Name:</w:t>
      </w:r>
      <w:r>
        <w:t xml:space="preserve"> </w:t>
      </w:r>
      <w:r>
        <w:t xml:space="preserve">knkhdxsngg</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provides a high-detail Product Carbon Footprint (PCF) analysis for the product</w:t>
      </w:r>
      <w:r>
        <w:t xml:space="preserve"> </w:t>
      </w:r>
      <w:r>
        <w:rPr>
          <w:bCs/>
          <w:b/>
        </w:rPr>
        <w:t xml:space="preserve">myqgkhrwne</w:t>
      </w:r>
      <w:r>
        <w:t xml:space="preserve"> </w:t>
      </w:r>
      <w:r>
        <w:t xml:space="preserve">manufactured by</w:t>
      </w:r>
      <w:r>
        <w:t xml:space="preserve"> </w:t>
      </w:r>
      <w:r>
        <w:rPr>
          <w:bCs/>
          <w:b/>
        </w:rPr>
        <w:t xml:space="preserve">knkhdxsngg</w:t>
      </w:r>
      <w:r>
        <w:t xml:space="preserve">.</w:t>
      </w:r>
      <w:r>
        <w:t xml:space="preserve"> </w:t>
      </w:r>
      <w:r>
        <w:t xml:space="preserve">Acting as zozoqgdklg, a Senior Sustainability Consultant specializing in GHG Protocol, this analysis quantifies the greenhouse gas (GHG) emissions</w:t>
      </w:r>
      <w:r>
        <w:t xml:space="preserve"> </w:t>
      </w:r>
      <w:r>
        <w:t xml:space="preserve">across the product\'s life cycle, from material acquisition to end-of-life, expressed in CO2 equivalents (CO2e).</w:t>
      </w:r>
      <w:r>
        <w:t xml:space="preserve"> </w:t>
      </w:r>
      <w:r>
        <w:t xml:space="preserve">The methodology strictly adheres to the GHG Protocol standards, including the categorization of emissions into Scope 1, Scope 2, and Scope 3,</w:t>
      </w:r>
      <w:r>
        <w:t xml:space="preserve"> </w:t>
      </w:r>
      <w:r>
        <w:t xml:space="preserve">and incorporates the principles of the 2026 Land Sector and Removals (LSR) Standard update. The aim is to identify key</w:t>
      </w:r>
      <w:r>
        <w:t xml:space="preserve"> </w:t>
      </w:r>
      <w:r>
        <w:t xml:space="preserve">emission hotspots and provide actionable insights for decarbonization efforts.</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Product Carbon Footprint analysis is defined as:</w:t>
      </w:r>
      <w:r>
        <w:t xml:space="preserve"> </w:t>
      </w:r>
      <w:r>
        <w:rPr>
          <w:bCs/>
          <w:b/>
        </w:rPr>
        <w:t xml:space="preserve">1.0 unit of myqgkhrwne</w:t>
      </w:r>
      <w:r>
        <w:t xml:space="preserve">.</w:t>
      </w:r>
      <w:r>
        <w:t xml:space="preserve"> </w:t>
      </w:r>
      <w:r>
        <w:t xml:space="preserve">This unit serves as the reference basis for quantifying all environmental impacts and ensures comparability.</w:t>
      </w:r>
    </w:p>
    <w:bookmarkEnd w:id="23"/>
    <w:bookmarkStart w:id="24" w:name="system-boundary"/>
    <w:p>
      <w:pPr>
        <w:pStyle w:val="Heading3"/>
      </w:pPr>
      <w:r>
        <w:t xml:space="preserve">1.2. System Boundary</w:t>
      </w:r>
    </w:p>
    <w:p>
      <w:pPr>
        <w:pStyle w:val="FirstParagraph"/>
      </w:pPr>
      <w:r>
        <w:t xml:space="preserve">The system boundary for this analysis is "factory_gate" for primary reporting, with expanded calculations covering the full "cradle-to-grave"</w:t>
      </w:r>
      <w:r>
        <w:t xml:space="preserve"> </w:t>
      </w:r>
      <w:r>
        <w:t xml:space="preserve">lifecycle, including the use phase and end-of-life scenarios as requested. This encompasses all relevant processes from raw material extraction,</w:t>
      </w:r>
      <w:r>
        <w:t xml:space="preserve"> </w:t>
      </w:r>
      <w:r>
        <w:t xml:space="preserve">manufacturing, transportation, product use, and end-of-life treatment (disposal or recycling).</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(implying material sourcing, intermediate transport, and potentially end-user market)</w:t>
      </w:r>
    </w:p>
    <w:bookmarkEnd w:id="25"/>
    <w:bookmarkStart w:id="26" w:name="accounting-standard"/>
    <w:p>
      <w:pPr>
        <w:pStyle w:val="Heading3"/>
      </w:pPr>
      <w:r>
        <w:t xml:space="preserve">1.4. Accounting Standard</w:t>
      </w:r>
    </w:p>
    <w:p>
      <w:pPr>
        <w:pStyle w:val="FirstParagraph"/>
      </w:pPr>
      <w:r>
        <w:t xml:space="preserve">This Product Carbon Footprint analysis is conducted in strict accordance with the</w:t>
      </w:r>
      <w:r>
        <w:t xml:space="preserve"> </w:t>
      </w:r>
      <w:r>
        <w:rPr>
          <w:bCs/>
          <w:b/>
        </w:rPr>
        <w:t xml:space="preserve">GHG Protocol</w:t>
      </w:r>
      <w:r>
        <w:t xml:space="preserve"> </w:t>
      </w:r>
      <w:r>
        <w:t xml:space="preserve">standards.</w:t>
      </w:r>
      <w:r>
        <w:t xml:space="preserve"> </w:t>
      </w:r>
      <w:r>
        <w:t xml:space="preserve">Emissions are categorized into Scope 1 (direct emissions), Scope 2 (indirect emissions from purchased energy), and Scope 3 (all other indirect emissions across the value chain).</w:t>
      </w:r>
    </w:p>
    <w:bookmarkEnd w:id="26"/>
    <w:bookmarkStart w:id="27" w:name="allocation"/>
    <w:p>
      <w:pPr>
        <w:pStyle w:val="Heading3"/>
      </w:pPr>
      <w:r>
        <w:t xml:space="preserve">1.5. Allocation</w:t>
      </w:r>
    </w:p>
    <w:p>
      <w:pPr>
        <w:pStyle w:val="FirstParagraph"/>
      </w:pPr>
      <w:r>
        <w:t xml:space="preserve">Emissions are directly allocated to the functional unit (1.0 unit of myqgkhrwne). For processes involving co-products or by-products,</w:t>
      </w:r>
      <w:r>
        <w:t xml:space="preserve"> </w:t>
      </w:r>
      <w:r>
        <w:t xml:space="preserve">allocation rules consistent with GHG Protocol guidelines would be applied to ensure emissions are attributed appropriately to the product under analysis.</w:t>
      </w:r>
    </w:p>
    <w:p>
      <w:r>
        <w:pict>
          <v:rect style="width:0;height:1.5pt" o:hralign="center" o:hrstd="t" o:hr="t"/>
        </w:pict>
      </w:r>
    </w:p>
    <w:bookmarkEnd w:id="27"/>
    <w:bookmarkEnd w:id="28"/>
    <w:bookmarkStart w:id="34" w:name="X668a29dea6996859d52024a913312988ccfa3c9"/>
    <w:p>
      <w:pPr>
        <w:pStyle w:val="Heading2"/>
      </w:pPr>
      <w:r>
        <w:t xml:space="preserve">2. Map Lifecycle (LCI Inventory Stages) &amp; 3. Collect Data</w:t>
      </w:r>
    </w:p>
    <w:p>
      <w:pPr>
        <w:pStyle w:val="FirstParagraph"/>
      </w:pPr>
      <w:r>
        <w:t xml:space="preserve">This section details the various lifecycle stages of myqgkhrwne and outlines the data points collected, using both</w:t>
      </w:r>
      <w:r>
        <w:t xml:space="preserve"> </w:t>
      </w:r>
      <w:r>
        <w:t xml:space="preserve">provided specific data (primary) and industry-average data (secondary) where specific values were not available.</w:t>
      </w:r>
      <w:r>
        <w:t xml:space="preserve"> </w:t>
      </w:r>
      <w:r>
        <w:t xml:space="preserve">For illustrative purposes, numerical values for parameters like transport distance and energy consumption are assumed based on the given placeholders.</w:t>
      </w:r>
    </w:p>
    <w:bookmarkStart w:id="29" w:name="X357a27e3370750a8dfabfdf8112fb6d975c4fc9"/>
    <w:p>
      <w:pPr>
        <w:pStyle w:val="Heading3"/>
      </w:pPr>
      <w:r>
        <w:t xml:space="preserve">3.1. Material Acquisition &amp; Pre-processing (Upstream Scope 3)</w:t>
      </w:r>
    </w:p>
    <w:p>
      <w:pPr>
        <w:pStyle w:val="FirstParagraph"/>
      </w:pPr>
      <w:r>
        <w:t xml:space="preserve">The detailed Bill of Materials (BOM) for myqgkhrwne, provided as `vpzrgvns`, is crucial for high-accuracy material impact calculation.</w:t>
      </w:r>
      <w:r>
        <w:t xml:space="preserve"> </w:t>
      </w:r>
      <w:r>
        <w:t xml:space="preserve">The BOM data includes specific emission factors and total carbon values for each material, which are directly used in the calculations.</w:t>
      </w:r>
      <w:r>
        <w:t xml:space="preserve"> </w:t>
      </w:r>
      <w:r>
        <w:t xml:space="preserve">Below is an illustrative representation of the BOM structure and assumed values for demonstration purposes,</w:t>
      </w:r>
      <w:r>
        <w:t xml:space="preserve"> </w:t>
      </w:r>
      <w:r>
        <w:t xml:space="preserve">based on the format (ID, Description, Category, Process, Qty, Unit, Emission Factor, Total Carbon).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M101</w:t>
            </w:r>
          </w:p>
        </w:tc>
        <w:tc>
          <w:tcPr/>
          <w:p>
            <w:pPr>
              <w:pStyle w:val="Compact"/>
              <w:jc w:val="left"/>
            </w:pPr>
            <w:r>
              <w:t xml:space="preserve">Aluminum Alloy Casing</w:t>
            </w:r>
          </w:p>
        </w:tc>
        <w:tc>
          <w:tcPr/>
          <w:p>
            <w:pPr>
              <w:pStyle w:val="Compact"/>
              <w:jc w:val="left"/>
            </w:pPr>
            <w:r>
              <w:t xml:space="preserve">Metals</w:t>
            </w:r>
          </w:p>
        </w:tc>
        <w:tc>
          <w:tcPr/>
          <w:p>
            <w:pPr>
              <w:pStyle w:val="Compact"/>
              <w:jc w:val="left"/>
            </w:pPr>
            <w:r>
              <w:t xml:space="preserve">Primary Smelting</w:t>
            </w:r>
          </w:p>
        </w:tc>
        <w:tc>
          <w:tcPr/>
          <w:p>
            <w:pPr>
              <w:pStyle w:val="Compact"/>
              <w:jc w:val="left"/>
            </w:pPr>
            <w:r>
              <w:t xml:space="preserve">0.75</w:t>
            </w:r>
          </w:p>
        </w:tc>
        <w:tc>
          <w:tcPr/>
          <w:p>
            <w:pPr>
              <w:pStyle w:val="Compact"/>
              <w:jc w:val="left"/>
            </w:pPr>
            <w:r>
              <w:t xml:space="preserve">kg</w:t>
            </w:r>
          </w:p>
        </w:tc>
        <w:tc>
          <w:tcPr/>
          <w:p>
            <w:pPr>
              <w:pStyle w:val="Compact"/>
              <w:jc w:val="left"/>
            </w:pPr>
            <w:r>
              <w:t xml:space="preserve">8.6</w:t>
            </w:r>
          </w:p>
        </w:tc>
        <w:tc>
          <w:tcPr/>
          <w:p>
            <w:pPr>
              <w:pStyle w:val="Compact"/>
              <w:jc w:val="left"/>
            </w:pPr>
            <w:r>
              <w:t xml:space="preserve">6.45</w:t>
            </w:r>
          </w:p>
        </w:tc>
      </w:tr>
      <w:tr>
        <w:tc>
          <w:tcPr/>
          <w:p>
            <w:pPr>
              <w:pStyle w:val="Compact"/>
              <w:jc w:val="left"/>
            </w:pPr>
            <w:r>
              <w:t xml:space="preserve">P201</w:t>
            </w:r>
          </w:p>
        </w:tc>
        <w:tc>
          <w:tcPr/>
          <w:p>
            <w:pPr>
              <w:pStyle w:val="Compact"/>
              <w:jc w:val="left"/>
            </w:pPr>
            <w:r>
              <w:t xml:space="preserve">Recycled ABS 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0.40</w:t>
            </w:r>
          </w:p>
        </w:tc>
        <w:tc>
          <w:tcPr/>
          <w:p>
            <w:pPr>
              <w:pStyle w:val="Compact"/>
              <w:jc w:val="left"/>
            </w:pPr>
            <w:r>
              <w:t xml:space="preserve">kg</w:t>
            </w:r>
          </w:p>
        </w:tc>
        <w:tc>
          <w:tcPr/>
          <w:p>
            <w:pPr>
              <w:pStyle w:val="Compact"/>
              <w:jc w:val="left"/>
            </w:pPr>
            <w:r>
              <w:t xml:space="preserve">1.5</w:t>
            </w:r>
          </w:p>
        </w:tc>
        <w:tc>
          <w:tcPr/>
          <w:p>
            <w:pPr>
              <w:pStyle w:val="Compact"/>
              <w:jc w:val="left"/>
            </w:pPr>
            <w:r>
              <w:t xml:space="preserve">0.60</w:t>
            </w:r>
          </w:p>
        </w:tc>
      </w:tr>
      <w:tr>
        <w:tc>
          <w:tcPr/>
          <w:p>
            <w:pPr>
              <w:pStyle w:val="Compact"/>
              <w:jc w:val="left"/>
            </w:pPr>
            <w:r>
              <w:t xml:space="preserve">E301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C401</w:t>
            </w:r>
          </w:p>
        </w:tc>
        <w:tc>
          <w:tcPr/>
          <w:p>
            <w:pPr>
              <w:pStyle w:val="Compact"/>
              <w:jc w:val="left"/>
            </w:pPr>
            <w:r>
              <w:t xml:space="preserve">Lithium-ion Battery (Small)</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12.0</w:t>
            </w:r>
          </w:p>
        </w:tc>
        <w:tc>
          <w:tcPr/>
          <w:p>
            <w:pPr>
              <w:pStyle w:val="Compact"/>
              <w:jc w:val="left"/>
            </w:pPr>
            <w:r>
              <w:t xml:space="preserve">1.80</w:t>
            </w:r>
          </w:p>
        </w:tc>
      </w:tr>
      <w:tr>
        <w:tc>
          <w:tcPr/>
          <w:p>
            <w:pPr>
              <w:pStyle w:val="Compact"/>
              <w:jc w:val="left"/>
            </w:pPr>
            <w:r>
              <w:t xml:space="preserve">W501</w:t>
            </w:r>
          </w:p>
        </w:tc>
        <w:tc>
          <w:tcPr/>
          <w:p>
            <w:pPr>
              <w:pStyle w:val="Compact"/>
              <w:jc w:val="left"/>
            </w:pPr>
            <w:r>
              <w:t xml:space="preserve">Cardboard Packaging</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r>
        <w:tc>
          <w:tcPr/>
          <w:p>
            <w:pPr>
              <w:pStyle w:val="Compact"/>
              <w:jc w:val="left"/>
            </w:pPr>
            <w:r>
              <w:t xml:space="preserve">A601</w:t>
            </w:r>
          </w:p>
        </w:tc>
        <w:tc>
          <w:tcPr/>
          <w:p>
            <w:pPr>
              <w:pStyle w:val="Compact"/>
              <w:jc w:val="left"/>
            </w:pPr>
            <w:r>
              <w:t xml:space="preserve">Adhesives &amp; Coatings</w:t>
            </w:r>
          </w:p>
        </w:tc>
        <w:tc>
          <w:tcPr/>
          <w:p>
            <w:pPr>
              <w:pStyle w:val="Compact"/>
              <w:jc w:val="left"/>
            </w:pPr>
            <w:r>
              <w:t xml:space="preserve">Chemicals</w:t>
            </w:r>
          </w:p>
        </w:tc>
        <w:tc>
          <w:tcPr/>
          <w:p>
            <w:pPr>
              <w:pStyle w:val="Compact"/>
              <w:jc w:val="left"/>
            </w:pPr>
            <w:r>
              <w:t xml:space="preserve">Formulation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gridSpan w:val="7"/>
          </w:tcPr>
          <w:p>
            <w:pPr>
              <w:pStyle w:val="Compact"/>
              <w:jc w:val="right"/>
            </w:pPr>
            <w:r>
              <w:t xml:space="preserve">Total Material Carbon Footprint:</w:t>
            </w:r>
          </w:p>
        </w:tc>
        <w:tc>
          <w:tcPr/>
          <w:p>
            <w:pPr>
              <w:pStyle w:val="Compact"/>
              <w:jc w:val="left"/>
            </w:pPr>
            <w:r>
              <w:t xml:space="preserve">10.04 kgCO2e</w:t>
            </w:r>
          </w:p>
        </w:tc>
      </w:tr>
    </w:tbl>
    <w:p>
      <w:pPr>
        <w:pStyle w:val="BodyText"/>
      </w:pPr>
      <w:r>
        <w:rPr>
          <w:iCs/>
          <w:i/>
        </w:rPr>
        <w:t xml:space="preserve">Note: The "Total Carbon (kgCO2e)" values provided in the sample BOM (vpzrgvns) are used directly, representing the</w:t>
      </w:r>
      <w:r>
        <w:rPr>
          <w:iCs/>
          <w:i/>
        </w:rPr>
        <w:t xml:space="preserve"> </w:t>
      </w:r>
      <w:r>
        <w:rPr>
          <w:iCs/>
          <w:i/>
        </w:rPr>
        <w:t xml:space="preserve">embedded emissions from raw material extraction to the point of delivery for manufacturing.</w:t>
      </w:r>
    </w:p>
    <w:bookmarkEnd w:id="29"/>
    <w:bookmarkStart w:id="30" w:name="manufacturing-scope-2-upstream-scope-3"/>
    <w:p>
      <w:pPr>
        <w:pStyle w:val="Heading3"/>
      </w:pPr>
      <w:r>
        <w:t xml:space="preserve">3.2. Manufacturing (Scope 2 &amp; Upstream Scope 3)</w:t>
      </w:r>
    </w:p>
    <w:p>
      <w:pPr>
        <w:pStyle w:val="FirstParagraph"/>
      </w:pPr>
      <w:r>
        <w:t xml:space="preserve">The production phase, located in China, involves energy consumption for various processes.</w:t>
      </w:r>
    </w:p>
    <w:p>
      <w:pPr>
        <w:numPr>
          <w:ilvl w:val="0"/>
          <w:numId w:val="1002"/>
        </w:numPr>
        <w:pStyle w:val="Compact"/>
      </w:pPr>
      <w:r>
        <w:rPr>
          <w:bCs/>
          <w:b/>
        </w:rPr>
        <w:t xml:space="preserve">Energy Intensity (kWh/unit):</w:t>
      </w:r>
      <w:r>
        <w:t xml:space="preserve"> </w:t>
      </w:r>
      <w:r>
        <w:t xml:space="preserve">rpuqimpthn (assumed 50 kWh/unit for calculation)</w:t>
      </w:r>
    </w:p>
    <w:p>
      <w:pPr>
        <w:numPr>
          <w:ilvl w:val="0"/>
          <w:numId w:val="1002"/>
        </w:numPr>
        <w:pStyle w:val="Compact"/>
      </w:pPr>
      <w:r>
        <w:rPr>
          <w:bCs/>
          <w:b/>
        </w:rPr>
        <w:t xml:space="preserve">Renewable Energy Usage:</w:t>
      </w:r>
      <w:r>
        <w:t xml:space="preserve"> </w:t>
      </w:r>
      <w:r>
        <w:t xml:space="preserve">keqprkxgzp (assumed 30% for calculation)</w:t>
      </w:r>
    </w:p>
    <w:p>
      <w:pPr>
        <w:pStyle w:val="FirstParagraph"/>
      </w:pPr>
      <w:r>
        <w:t xml:space="preserve">The remaining energy is sourced from the grid. The national average electricity carbon footprint factor for China is approximately 0.57 kg CO2e/kWh.</w:t>
      </w:r>
      <w:r>
        <w:t xml:space="preserve"> </w:t>
      </w:r>
      <w:r>
        <w:t xml:space="preserve">Direct emissions (Scope 1) from on-site fuel combustion are considered negligible or not provided in the parameters for this analysis.</w:t>
      </w:r>
    </w:p>
    <w:bookmarkEnd w:id="30"/>
    <w:bookmarkStart w:id="31" w:name="transport-upstream-downstream-scope-3"/>
    <w:p>
      <w:pPr>
        <w:pStyle w:val="Heading3"/>
      </w:pPr>
      <w:r>
        <w:t xml:space="preserve">3.3. Transport (Upstream &amp; Downstream Scope 3)</w:t>
      </w:r>
    </w:p>
    <w:p>
      <w:pPr>
        <w:pStyle w:val="FirstParagraph"/>
      </w:pPr>
      <w:r>
        <w:t xml:space="preserve">Logistics play a significant role in the overall PCF. The transport data provided are:</w:t>
      </w:r>
    </w:p>
    <w:p>
      <w:pPr>
        <w:numPr>
          <w:ilvl w:val="0"/>
          <w:numId w:val="1003"/>
        </w:numPr>
        <w:pStyle w:val="Compact"/>
      </w:pPr>
      <w:r>
        <w:rPr>
          <w:bCs/>
          <w:b/>
        </w:rPr>
        <w:t xml:space="preserve">Transport Mode:</w:t>
      </w:r>
      <w:r>
        <w:t xml:space="preserve"> </w:t>
      </w:r>
      <w:r>
        <w:t xml:space="preserve">Select Mode (assumed Ocean Freight for primary, Road Freight for secondary distribution, Parcel Delivery Van for last-mile)</w:t>
      </w:r>
    </w:p>
    <w:p>
      <w:pPr>
        <w:numPr>
          <w:ilvl w:val="0"/>
          <w:numId w:val="1003"/>
        </w:numPr>
        <w:pStyle w:val="Compact"/>
      </w:pPr>
      <w:r>
        <w:rPr>
          <w:bCs/>
          <w:b/>
        </w:rPr>
        <w:t xml:space="preserve">Transport Distance:</w:t>
      </w:r>
      <w:r>
        <w:t xml:space="preserve"> </w:t>
      </w:r>
      <w:r>
        <w:t xml:space="preserve">ujgxglgutt (assumed 10,000 km for Ocean, 500 km for Road, 50 km for Last-Mile)</w:t>
      </w:r>
    </w:p>
    <w:p>
      <w:pPr>
        <w:numPr>
          <w:ilvl w:val="0"/>
          <w:numId w:val="1003"/>
        </w:numPr>
        <w:pStyle w:val="Compact"/>
      </w:pPr>
      <w:r>
        <w:rPr>
          <w:bCs/>
          <w:b/>
        </w:rPr>
        <w:t xml:space="preserve">Last-Mile Delivery Channel:</w:t>
      </w:r>
      <w:r>
        <w:t xml:space="preserve"> </w:t>
      </w:r>
      <w:r>
        <w:t xml:space="preserve">Delivery Type (assumed Parcel Delivery Van)</w:t>
      </w:r>
    </w:p>
    <w:p>
      <w:pPr>
        <w:pStyle w:val="FirstParagraph"/>
      </w:pPr>
      <w:r>
        <w:t xml:space="preserve">For calculations, a total product weight (including packaging) of 1.5 kg is assumed (summing material quantities from the sample BOM).</w:t>
      </w:r>
      <w:r>
        <w:t xml:space="preserve"> </w:t>
      </w:r>
      <w:r>
        <w:t xml:space="preserve">Emission factors for transport modes are based on industry averages:</w:t>
      </w:r>
    </w:p>
    <w:p>
      <w:pPr>
        <w:numPr>
          <w:ilvl w:val="0"/>
          <w:numId w:val="1004"/>
        </w:numPr>
        <w:pStyle w:val="Compact"/>
      </w:pPr>
      <w:r>
        <w:rPr>
          <w:bCs/>
          <w:b/>
        </w:rPr>
        <w:t xml:space="preserve">Ocean Freight (Container Ship):</w:t>
      </w:r>
      <w:r>
        <w:t xml:space="preserve"> </w:t>
      </w:r>
      <w:r>
        <w:t xml:space="preserve">0.016 kgCO2e/tonne-km</w:t>
      </w:r>
    </w:p>
    <w:p>
      <w:pPr>
        <w:numPr>
          <w:ilvl w:val="0"/>
          <w:numId w:val="1004"/>
        </w:numPr>
        <w:pStyle w:val="Compact"/>
      </w:pPr>
      <w:r>
        <w:rPr>
          <w:bCs/>
          <w:b/>
        </w:rPr>
        <w:t xml:space="preserve">Road Freight (Heavy Goods Vehicle):</w:t>
      </w:r>
      <w:r>
        <w:t xml:space="preserve"> </w:t>
      </w:r>
      <w:r>
        <w:t xml:space="preserve">0.06 kgCO2e/tonne-km</w:t>
      </w:r>
    </w:p>
    <w:p>
      <w:pPr>
        <w:numPr>
          <w:ilvl w:val="0"/>
          <w:numId w:val="1004"/>
        </w:numPr>
        <w:pStyle w:val="Compact"/>
      </w:pPr>
      <w:r>
        <w:rPr>
          <w:bCs/>
          <w:b/>
        </w:rPr>
        <w:t xml:space="preserve">Parcel Delivery Van (Last-Mile):</w:t>
      </w:r>
      <w:r>
        <w:t xml:space="preserve"> </w:t>
      </w:r>
      <w:r>
        <w:t xml:space="preserve">Assumed 0.5 kgCO2e/delivery (fixed, illustrative for local efficiency)</w:t>
      </w:r>
    </w:p>
    <w:bookmarkEnd w:id="31"/>
    <w:bookmarkStart w:id="32" w:name="use-phase-downstream-scope-3"/>
    <w:p>
      <w:pPr>
        <w:pStyle w:val="Heading3"/>
      </w:pPr>
      <w:r>
        <w:t xml:space="preserve">3.4. Use Phase (Downstream Scope 3)</w:t>
      </w:r>
    </w:p>
    <w:p>
      <w:pPr>
        <w:pStyle w:val="FirstParagraph"/>
      </w:pPr>
      <w:r>
        <w:t xml:space="preserve">The energy consumption during the product\'s lifespan is a key factor.</w:t>
      </w:r>
    </w:p>
    <w:p>
      <w:pPr>
        <w:numPr>
          <w:ilvl w:val="0"/>
          <w:numId w:val="1005"/>
        </w:numPr>
        <w:pStyle w:val="Compact"/>
      </w:pPr>
      <w:r>
        <w:rPr>
          <w:bCs/>
          <w:b/>
        </w:rPr>
        <w:t xml:space="preserve">Product Lifespan:</w:t>
      </w:r>
      <w:r>
        <w:t xml:space="preserve"> </w:t>
      </w:r>
      <w:r>
        <w:t xml:space="preserve">hmgpghhmph (assumed 5 years for calculation)</w:t>
      </w:r>
    </w:p>
    <w:p>
      <w:pPr>
        <w:numPr>
          <w:ilvl w:val="0"/>
          <w:numId w:val="1005"/>
        </w:numPr>
        <w:pStyle w:val="Compact"/>
      </w:pPr>
      <w:r>
        <w:rPr>
          <w:bCs/>
          <w:b/>
        </w:rPr>
        <w:t xml:space="preserve">Energy Consumption in Use:</w:t>
      </w:r>
      <w:r>
        <w:t xml:space="preserve"> </w:t>
      </w:r>
      <w:r>
        <w:t xml:space="preserve">yzgizyxkto (assumed 10 kWh/year for calculation)</w:t>
      </w:r>
    </w:p>
    <w:p>
      <w:pPr>
        <w:pStyle w:val="FirstParagraph"/>
      </w:pPr>
      <w:r>
        <w:t xml:space="preserve">Assuming the product is used in a European market (given Europe-focused supply chain), an EU average grid emission factor of 0.28 kg CO2e/kWh is applied.</w:t>
      </w:r>
    </w:p>
    <w:bookmarkEnd w:id="32"/>
    <w:bookmarkStart w:id="33" w:name="X120d541eb2099ba848c241b6320cfc893a7b66d"/>
    <w:p>
      <w:pPr>
        <w:pStyle w:val="Heading3"/>
      </w:pPr>
      <w:r>
        <w:t xml:space="preserve">3.5. End-of-Life (EoL) Scenarios (Downstream Scope 3)</w:t>
      </w:r>
    </w:p>
    <w:p>
      <w:pPr>
        <w:pStyle w:val="FirstParagraph"/>
      </w:pPr>
      <w:r>
        <w:t xml:space="preserve">Circular economy impacts are incorporated with the following data:</w:t>
      </w:r>
    </w:p>
    <w:p>
      <w:pPr>
        <w:numPr>
          <w:ilvl w:val="0"/>
          <w:numId w:val="1006"/>
        </w:numPr>
        <w:pStyle w:val="Compact"/>
      </w:pPr>
      <w:r>
        <w:rPr>
          <w:bCs/>
          <w:b/>
        </w:rPr>
        <w:t xml:space="preserve">Recyclability Percentage:</w:t>
      </w:r>
      <w:r>
        <w:t xml:space="preserve"> </w:t>
      </w:r>
      <w:r>
        <w:t xml:space="preserve">vigulpdedh (assumed 70% for calculation)</w:t>
      </w:r>
    </w:p>
    <w:p>
      <w:pPr>
        <w:numPr>
          <w:ilvl w:val="0"/>
          <w:numId w:val="1006"/>
        </w:numPr>
        <w:pStyle w:val="Compact"/>
      </w:pPr>
      <w:r>
        <w:rPr>
          <w:bCs/>
          <w:b/>
        </w:rPr>
        <w:t xml:space="preserve">Circular/Take-back Programs:</w:t>
      </w:r>
      <w:r>
        <w:t xml:space="preserve"> </w:t>
      </w:r>
      <w:r>
        <w:t xml:space="preserve">qpsjhpmtvh (assumed Established take-back program for key components and materials)</w:t>
      </w:r>
    </w:p>
    <w:p>
      <w:pPr>
        <w:pStyle w:val="FirstParagraph"/>
      </w:pPr>
      <w:r>
        <w:t xml:space="preserve">For the remaining 30% non-recyclable waste, landfilling is assumed.</w:t>
      </w:r>
      <w:r>
        <w:t xml:space="preserve"> </w:t>
      </w:r>
      <w:r>
        <w:t xml:space="preserve">Emission factors for EoL:</w:t>
      </w:r>
    </w:p>
    <w:p>
      <w:pPr>
        <w:numPr>
          <w:ilvl w:val="0"/>
          <w:numId w:val="1007"/>
        </w:numPr>
        <w:pStyle w:val="Compact"/>
      </w:pPr>
      <w:r>
        <w:rPr>
          <w:bCs/>
          <w:b/>
        </w:rPr>
        <w:t xml:space="preserve">Landfill (general waste):</w:t>
      </w:r>
      <w:r>
        <w:t xml:space="preserve"> </w:t>
      </w:r>
      <w:r>
        <w:t xml:space="preserve">0.68 kgCO2e/kg</w:t>
      </w:r>
    </w:p>
    <w:p>
      <w:pPr>
        <w:numPr>
          <w:ilvl w:val="0"/>
          <w:numId w:val="1007"/>
        </w:numPr>
        <w:pStyle w:val="Compact"/>
      </w:pPr>
      <w:r>
        <w:rPr>
          <w:bCs/>
          <w:b/>
        </w:rPr>
        <w:t xml:space="preserve">Avoided emissions from recycling plastic:</w:t>
      </w:r>
      <w:r>
        <w:t xml:space="preserve"> </w:t>
      </w:r>
      <w:r>
        <w:t xml:space="preserve">1.08 kgCO2e/kg saved</w:t>
      </w:r>
    </w:p>
    <w:p>
      <w:pPr>
        <w:numPr>
          <w:ilvl w:val="0"/>
          <w:numId w:val="1007"/>
        </w:numPr>
        <w:pStyle w:val="Compact"/>
      </w:pPr>
      <w:r>
        <w:rPr>
          <w:bCs/>
          <w:b/>
        </w:rPr>
        <w:t xml:space="preserve">Avoided emissions from recycling aluminum:</w:t>
      </w:r>
      <w:r>
        <w:t xml:space="preserve"> </w:t>
      </w:r>
      <w:r>
        <w:t xml:space="preserve">8.14 kgCO2e/kg saved</w:t>
      </w:r>
    </w:p>
    <w:p>
      <w:r>
        <w:pict>
          <v:rect style="width:0;height:1.5pt" o:hralign="center" o:hrstd="t" o:hr="t"/>
        </w:pict>
      </w:r>
    </w:p>
    <w:bookmarkEnd w:id="33"/>
    <w:bookmarkEnd w:id="34"/>
    <w:bookmarkStart w:id="43" w:name="calculate-emissions"/>
    <w:p>
      <w:pPr>
        <w:pStyle w:val="Heading2"/>
      </w:pPr>
      <w:r>
        <w:t xml:space="preserve">4. Calculate Emissions</w:t>
      </w:r>
    </w:p>
    <w:p>
      <w:pPr>
        <w:pStyle w:val="FirstParagraph"/>
      </w:pPr>
      <w:r>
        <w:t xml:space="preserve">Emissions are calculated for each lifecycle stage and categorized according to the GHG Protocol\'s Scope 1, 2, and 3 definitions.</w:t>
      </w:r>
      <w:r>
        <w:t xml:space="preserve"> </w:t>
      </w:r>
      <w:r>
        <w:t xml:space="preserve">The formula Activity Data × Emission Factor = CO2e is applied throughout.</w:t>
      </w:r>
    </w:p>
    <w:bookmarkStart w:id="35" w:name="scope-1-emissions-direct-emissions"/>
    <w:p>
      <w:pPr>
        <w:pStyle w:val="Heading3"/>
      </w:pPr>
      <w:r>
        <w:t xml:space="preserve">4.1. Scope 1 Emissions (Direct Emissions)</w:t>
      </w:r>
    </w:p>
    <w:p>
      <w:pPr>
        <w:pStyle w:val="FirstParagraph"/>
      </w:pPr>
      <w:r>
        <w:t xml:space="preserve">For this product analysis, direct emissions (e.g., from owned or controlled sources like on-site combustion of fuels) are considered negligible</w:t>
      </w:r>
      <w:r>
        <w:t xml:space="preserve"> </w:t>
      </w:r>
      <w:r>
        <w:t xml:space="preserve">or not explicitly provided within the given parameters. Therefore, Scope 1 emissions are assumed to be 0 kgCO2e.</w:t>
      </w:r>
    </w:p>
    <w:bookmarkEnd w:id="35"/>
    <w:bookmarkStart w:id="36" w:name="scope-2-emissions-purchased-energy"/>
    <w:p>
      <w:pPr>
        <w:pStyle w:val="Heading3"/>
      </w:pPr>
      <w:r>
        <w:t xml:space="preserve">4.2. Scope 2 Emissions (Purchased Energy)</w:t>
      </w:r>
    </w:p>
    <w:p>
      <w:pPr>
        <w:pStyle w:val="FirstParagraph"/>
      </w:pPr>
      <w:r>
        <w:t xml:space="preserve">These are indirect emissions from the generation of purchased electricity, steam, heating, or cooling.</w:t>
      </w:r>
      <w:r>
        <w:t xml:space="preserve"> </w:t>
      </w:r>
      <w:r>
        <w:t xml:space="preserve">In this case, it primarily covers the purchased electricity for manufacturing in China.</w:t>
      </w:r>
    </w:p>
    <w:p>
      <w:pPr>
        <w:numPr>
          <w:ilvl w:val="0"/>
          <w:numId w:val="1008"/>
        </w:numPr>
        <w:pStyle w:val="Compact"/>
      </w:pPr>
      <w:r>
        <w:t xml:space="preserve">Energy Intensity: 50 kWh/unit (rpuqimpthn)</w:t>
      </w:r>
    </w:p>
    <w:p>
      <w:pPr>
        <w:numPr>
          <w:ilvl w:val="0"/>
          <w:numId w:val="1008"/>
        </w:numPr>
        <w:pStyle w:val="Compact"/>
      </w:pPr>
      <w:r>
        <w:t xml:space="preserve">Renewable Energy Usage: 30% (keqprkxgzp)</w:t>
      </w:r>
    </w:p>
    <w:p>
      <w:pPr>
        <w:numPr>
          <w:ilvl w:val="0"/>
          <w:numId w:val="1008"/>
        </w:numPr>
        <w:pStyle w:val="Compact"/>
      </w:pPr>
      <w:r>
        <w:t xml:space="preserve">Non-renewable energy: 50 kWh/unit * (1 - 0.30) = 35 kWh/unit</w:t>
      </w:r>
    </w:p>
    <w:p>
      <w:pPr>
        <w:numPr>
          <w:ilvl w:val="0"/>
          <w:numId w:val="1008"/>
        </w:numPr>
        <w:pStyle w:val="Compact"/>
      </w:pPr>
      <w:r>
        <w:t xml:space="preserve">China Grid Emission Factor: 0.57 kgCO2e/kWh</w:t>
      </w:r>
    </w:p>
    <w:p>
      <w:pPr>
        <w:numPr>
          <w:ilvl w:val="0"/>
          <w:numId w:val="1008"/>
        </w:numPr>
        <w:pStyle w:val="Compact"/>
      </w:pPr>
      <w:r>
        <w:rPr>
          <w:bCs/>
          <w:b/>
        </w:rPr>
        <w:t xml:space="preserve">Scope 2 Emissions = 35 kWh/unit * 0.57 kgCO2e/kWh = 19.95 kgCO2e/unit</w:t>
      </w:r>
    </w:p>
    <w:bookmarkEnd w:id="36"/>
    <w:bookmarkStart w:id="39" w:name="scope-3-emissions-value-chain-emissions"/>
    <w:p>
      <w:pPr>
        <w:pStyle w:val="Heading3"/>
      </w:pPr>
      <w:r>
        <w:t xml:space="preserve">4.3. Scope 3 Emissions (Value Chain Emissions)</w:t>
      </w:r>
    </w:p>
    <w:p>
      <w:pPr>
        <w:pStyle w:val="FirstParagraph"/>
      </w:pPr>
      <w:r>
        <w:t xml:space="preserve">Scope 3 emissions encompass all other indirect emissions that occur in the value chain of knkhdxsngg,</w:t>
      </w:r>
      <w:r>
        <w:t xml:space="preserve"> </w:t>
      </w:r>
      <w:r>
        <w:t xml:space="preserve">both upstream (e.g., raw material production, inbound logistics) and downstream (e.g., product use, end-of-life).</w:t>
      </w:r>
    </w:p>
    <w:bookmarkStart w:id="37" w:name="upstream-scope-3-emissions"/>
    <w:p>
      <w:pPr>
        <w:pStyle w:val="Heading4"/>
      </w:pPr>
      <w:r>
        <w:t xml:space="preserve">4.3.1. Upstream Scope 3 Emissions</w:t>
      </w:r>
    </w:p>
    <w:p>
      <w:pPr>
        <w:pStyle w:val="FirstParagraph"/>
      </w:pPr>
      <w:r>
        <w:t xml:space="preserve">This category includes emissions from material acquisition and pre-processing, and upstream transportation.</w:t>
      </w:r>
    </w:p>
    <w:p>
      <w:pPr>
        <w:numPr>
          <w:ilvl w:val="0"/>
          <w:numId w:val="1009"/>
        </w:numPr>
        <w:pStyle w:val="Compact"/>
      </w:pPr>
      <w:r>
        <w:rPr>
          <w:bCs/>
          <w:b/>
        </w:rPr>
        <w:t xml:space="preserve">Materials:</w:t>
      </w:r>
      <w:r>
        <w:t xml:space="preserve"> </w:t>
      </w:r>
      <w:r>
        <w:t xml:space="preserve">Based on the illustrative BOM, the total material carbon footprint is</w:t>
      </w:r>
      <w:r>
        <w:t xml:space="preserve"> </w:t>
      </w:r>
      <w:r>
        <w:rPr>
          <w:bCs/>
          <w:b/>
        </w:rPr>
        <w:t xml:space="preserve">10.04 kgCO2e/unit</w:t>
      </w:r>
      <w:r>
        <w:t xml:space="preserve">.</w:t>
      </w:r>
    </w:p>
    <w:p>
      <w:pPr>
        <w:numPr>
          <w:ilvl w:val="0"/>
          <w:numId w:val="1009"/>
        </w:numPr>
        <w:pStyle w:val="Compact"/>
      </w:pPr>
      <w:r>
        <w:rPr>
          <w:bCs/>
          <w:b/>
        </w:rPr>
        <w:t xml:space="preserve">Upstream Transportation (Materials &amp; Components to Factory Gate):</w:t>
      </w:r>
    </w:p>
    <w:p>
      <w:pPr>
        <w:numPr>
          <w:ilvl w:val="1"/>
          <w:numId w:val="1010"/>
        </w:numPr>
        <w:pStyle w:val="Compact"/>
      </w:pPr>
      <w:r>
        <w:t xml:space="preserve">Assuming materials/components total weight: 1.5 kg/unit (from sum of BOM quantities)</w:t>
      </w:r>
    </w:p>
    <w:p>
      <w:pPr>
        <w:numPr>
          <w:ilvl w:val="1"/>
          <w:numId w:val="1010"/>
        </w:numPr>
        <w:pStyle w:val="Compact"/>
      </w:pPr>
      <w:r>
        <w:t xml:space="preserve">Distance: 10,000 km (Ocean Freight) (ujgxglgutt)</w:t>
      </w:r>
    </w:p>
    <w:p>
      <w:pPr>
        <w:numPr>
          <w:ilvl w:val="1"/>
          <w:numId w:val="1010"/>
        </w:numPr>
        <w:pStyle w:val="Compact"/>
      </w:pPr>
      <w:r>
        <w:t xml:space="preserve">Emissions = (1.5 kg / 1000 kg/tonne) * 10,000 km * 0.016 kgCO2e/tonne-km = 0.24 kgCO2e/unit</w:t>
      </w:r>
    </w:p>
    <w:p>
      <w:pPr>
        <w:numPr>
          <w:ilvl w:val="1"/>
          <w:numId w:val="1010"/>
        </w:numPr>
        <w:pStyle w:val="Compact"/>
      </w:pPr>
      <w:r>
        <w:rPr>
          <w:bCs/>
          <w:b/>
        </w:rPr>
        <w:t xml:space="preserve">Total Upstream Scope 3 Emissions = 10.04 kgCO2e (Materials) + 0.24 kgCO2e (Transport) = 10.28 kgCO2e/unit</w:t>
      </w:r>
    </w:p>
    <w:bookmarkEnd w:id="37"/>
    <w:bookmarkStart w:id="38" w:name="downstream-scope-3-emissions"/>
    <w:p>
      <w:pPr>
        <w:pStyle w:val="Heading4"/>
      </w:pPr>
      <w:r>
        <w:t xml:space="preserve">4.3.2. Downstream Scope 3 Emissions</w:t>
      </w:r>
    </w:p>
    <w:p>
      <w:pPr>
        <w:pStyle w:val="FirstParagraph"/>
      </w:pPr>
      <w:r>
        <w:t xml:space="preserve">This category includes emissions from transportation of finished goods, the use phase, and end-of-life treatment.</w:t>
      </w:r>
    </w:p>
    <w:p>
      <w:pPr>
        <w:numPr>
          <w:ilvl w:val="0"/>
          <w:numId w:val="1011"/>
        </w:numPr>
        <w:pStyle w:val="Compact"/>
      </w:pPr>
      <w:r>
        <w:rPr>
          <w:bCs/>
          <w:b/>
        </w:rPr>
        <w:t xml:space="preserve">Downstream Transportation (Finished Product from Factory Gate to Customer):</w:t>
      </w:r>
    </w:p>
    <w:p>
      <w:pPr>
        <w:numPr>
          <w:ilvl w:val="1"/>
          <w:numId w:val="1012"/>
        </w:numPr>
        <w:pStyle w:val="Compact"/>
      </w:pPr>
      <w:r>
        <w:t xml:space="preserve">Product Weight: 1.5 kg/unit</w:t>
      </w:r>
    </w:p>
    <w:p>
      <w:pPr>
        <w:numPr>
          <w:ilvl w:val="1"/>
          <w:numId w:val="1012"/>
        </w:numPr>
        <w:pStyle w:val="Compact"/>
      </w:pPr>
      <w:r>
        <w:t xml:space="preserve">Regional Road Freight: 500 km (ujgxglgutt) * (1.5 kg / 1000 kg/tonne) * 0.06 kgCO2e/tonne-km = 0.045 kgCO2e/unit</w:t>
      </w:r>
    </w:p>
    <w:p>
      <w:pPr>
        <w:numPr>
          <w:ilvl w:val="1"/>
          <w:numId w:val="1012"/>
        </w:numPr>
        <w:pStyle w:val="Compact"/>
      </w:pPr>
      <w:r>
        <w:t xml:space="preserve">Last-Mile Delivery: Assumed 0.5 kgCO2e/delivery (fixed, illustrative)</w:t>
      </w:r>
    </w:p>
    <w:p>
      <w:pPr>
        <w:numPr>
          <w:ilvl w:val="1"/>
          <w:numId w:val="1012"/>
        </w:numPr>
        <w:pStyle w:val="Compact"/>
      </w:pPr>
      <w:r>
        <w:rPr>
          <w:bCs/>
          <w:b/>
        </w:rPr>
        <w:t xml:space="preserve">Total Downstream Transport Emissions = 0.045 kgCO2e + 0.5 kgCO2e = 0.545 kgCO2e/unit</w:t>
      </w:r>
    </w:p>
    <w:p>
      <w:pPr>
        <w:numPr>
          <w:ilvl w:val="0"/>
          <w:numId w:val="1011"/>
        </w:numPr>
        <w:pStyle w:val="Compact"/>
      </w:pPr>
      <w:r>
        <w:rPr>
          <w:bCs/>
          <w:b/>
        </w:rPr>
        <w:t xml:space="preserve">Use Phase:</w:t>
      </w:r>
    </w:p>
    <w:p>
      <w:pPr>
        <w:numPr>
          <w:ilvl w:val="1"/>
          <w:numId w:val="1013"/>
        </w:numPr>
        <w:pStyle w:val="Compact"/>
      </w:pPr>
      <w:r>
        <w:t xml:space="preserve">Product Lifespan: 5 years (hmgpghhmph)</w:t>
      </w:r>
    </w:p>
    <w:p>
      <w:pPr>
        <w:numPr>
          <w:ilvl w:val="1"/>
          <w:numId w:val="1013"/>
        </w:numPr>
        <w:pStyle w:val="Compact"/>
      </w:pPr>
      <w:r>
        <w:t xml:space="preserve">Energy Consumption in Use: 10 kWh/year (yzgizyxkto)</w:t>
      </w:r>
    </w:p>
    <w:p>
      <w:pPr>
        <w:numPr>
          <w:ilvl w:val="1"/>
          <w:numId w:val="1013"/>
        </w:numPr>
        <w:pStyle w:val="Compact"/>
      </w:pPr>
      <w:r>
        <w:t xml:space="preserve">Total energy consumption over lifespan: 10 kWh/year * 5 years = 50 kWh/unit</w:t>
      </w:r>
    </w:p>
    <w:p>
      <w:pPr>
        <w:numPr>
          <w:ilvl w:val="1"/>
          <w:numId w:val="1013"/>
        </w:numPr>
        <w:pStyle w:val="Compact"/>
      </w:pPr>
      <w:r>
        <w:t xml:space="preserve">EU Grid Emission Factor: 0.28 kgCO2e/kWh</w:t>
      </w:r>
    </w:p>
    <w:p>
      <w:pPr>
        <w:numPr>
          <w:ilvl w:val="1"/>
          <w:numId w:val="1013"/>
        </w:numPr>
        <w:pStyle w:val="Compact"/>
      </w:pPr>
      <w:r>
        <w:rPr>
          <w:bCs/>
          <w:b/>
        </w:rPr>
        <w:t xml:space="preserve">Use Phase Emissions = 50 kWh/unit * 0.28 kgCO2e/kWh = 14.00 kgCO2e/unit</w:t>
      </w:r>
    </w:p>
    <w:p>
      <w:pPr>
        <w:numPr>
          <w:ilvl w:val="0"/>
          <w:numId w:val="1011"/>
        </w:numPr>
        <w:pStyle w:val="Compact"/>
      </w:pPr>
      <w:r>
        <w:rPr>
          <w:bCs/>
          <w:b/>
        </w:rPr>
        <w:t xml:space="preserve">End-of-Life (EoL):</w:t>
      </w:r>
    </w:p>
    <w:p>
      <w:pPr>
        <w:numPr>
          <w:ilvl w:val="1"/>
          <w:numId w:val="1014"/>
        </w:numPr>
        <w:pStyle w:val="Compact"/>
      </w:pPr>
      <w:r>
        <w:t xml:space="preserve">Total Product Weight: 1.5 kg/unit</w:t>
      </w:r>
    </w:p>
    <w:p>
      <w:pPr>
        <w:numPr>
          <w:ilvl w:val="1"/>
          <w:numId w:val="1014"/>
        </w:numPr>
        <w:pStyle w:val="Compact"/>
      </w:pPr>
      <w:r>
        <w:t xml:space="preserve">Recyclability Percentage: 70% (vigulpdedh)</w:t>
      </w:r>
    </w:p>
    <w:p>
      <w:pPr>
        <w:numPr>
          <w:ilvl w:val="1"/>
          <w:numId w:val="1014"/>
        </w:numPr>
        <w:pStyle w:val="Compact"/>
      </w:pPr>
      <w:r>
        <w:t xml:space="preserve">Waste to Landfill: 30% * 1.5 kg = 0.45 kg/unit</w:t>
      </w:r>
    </w:p>
    <w:p>
      <w:pPr>
        <w:numPr>
          <w:ilvl w:val="1"/>
          <w:numId w:val="1014"/>
        </w:numPr>
        <w:pStyle w:val="Compact"/>
      </w:pPr>
      <w:r>
        <w:t xml:space="preserve">Recycled Material: 70% * 1.5 kg = 1.05 kg/unit</w:t>
      </w:r>
    </w:p>
    <w:p>
      <w:pPr>
        <w:numPr>
          <w:ilvl w:val="1"/>
          <w:numId w:val="1014"/>
        </w:numPr>
        <w:pStyle w:val="Compact"/>
      </w:pPr>
      <w:r>
        <w:t xml:space="preserve">Landfill Emissions = 0.45 kg/unit * 0.68 kgCO2e/kg = 0.306 kgCO2e/unit</w:t>
      </w:r>
    </w:p>
    <w:p>
      <w:pPr>
        <w:numPr>
          <w:ilvl w:val="1"/>
          <w:numId w:val="1014"/>
        </w:numPr>
        <w:pStyle w:val="Compact"/>
      </w:pPr>
      <w:r>
        <w:t xml:space="preserve">Avoided Emissions from Recycling (illustrative based on material type breakdown in BOM):</w:t>
      </w:r>
    </w:p>
    <w:p>
      <w:pPr>
        <w:numPr>
          <w:ilvl w:val="2"/>
          <w:numId w:val="1015"/>
        </w:numPr>
        <w:pStyle w:val="Compact"/>
      </w:pPr>
      <w:r>
        <w:t xml:space="preserve">Aluminum in BOM: 0.75 kg * 70% (recycled) = 0.525 kg Aluminum recycled. Avoided emissions = 0.525 kg * 8.14 kgCO2e/kg = -4.2735 kgCO2e</w:t>
      </w:r>
    </w:p>
    <w:p>
      <w:pPr>
        <w:numPr>
          <w:ilvl w:val="2"/>
          <w:numId w:val="1015"/>
        </w:numPr>
        <w:pStyle w:val="Compact"/>
      </w:pPr>
      <w:r>
        <w:t xml:space="preserve">Plastic in BOM: 0.40 kg * 70% (recycled) = 0.28 kg Plastic recycled. Avoided emissions = 0.28 kg * 1.08 kgCO2e/kg = -0.3024 kgCO2e</w:t>
      </w:r>
    </w:p>
    <w:p>
      <w:pPr>
        <w:numPr>
          <w:ilvl w:val="2"/>
          <w:numId w:val="1015"/>
        </w:numPr>
        <w:pStyle w:val="Compact"/>
      </w:pPr>
      <w:r>
        <w:t xml:space="preserve">(Other materials\' recyclability assumed to follow general average for simplicity here, actual breakdown would be more granular)</w:t>
      </w:r>
    </w:p>
    <w:p>
      <w:pPr>
        <w:numPr>
          <w:ilvl w:val="1"/>
          <w:numId w:val="1014"/>
        </w:numPr>
        <w:pStyle w:val="Compact"/>
      </w:pPr>
      <w:r>
        <w:rPr>
          <w:bCs/>
          <w:b/>
        </w:rPr>
        <w:t xml:space="preserve">Net EoL Emissions = 0.306 kgCO2e (Landfill) - 4.2735 kgCO2e (Alu Recycling) - 0.3024 kgCO2e (Plastic Recycling) = -4.27 kgCO2e/unit</w:t>
      </w:r>
      <w:r>
        <w:t xml:space="preserve"> </w:t>
      </w:r>
      <w:r>
        <w:t xml:space="preserve">(Negative value indicates a net carbon benefit from recycling)</w:t>
      </w:r>
    </w:p>
    <w:p>
      <w:pPr>
        <w:numPr>
          <w:ilvl w:val="0"/>
          <w:numId w:val="1011"/>
        </w:numPr>
        <w:pStyle w:val="Compact"/>
      </w:pPr>
      <w:r>
        <w:rPr>
          <w:bCs/>
          <w:b/>
        </w:rPr>
        <w:t xml:space="preserve">Total Downstream Scope 3 Emissions = 0.545 kgCO2e (Transport) + 14.00 kgCO2e (Use Phase) - 4.27 kgCO2e (EoL) = 10.275 kgCO2e/unit</w:t>
      </w:r>
    </w:p>
    <w:bookmarkEnd w:id="38"/>
    <w:bookmarkEnd w:id="39"/>
    <w:bookmarkStart w:id="40" w:name="ghg-protocol-2026-lsr-standard-update"/>
    <w:p>
      <w:pPr>
        <w:pStyle w:val="Heading3"/>
      </w:pPr>
      <w:r>
        <w:t xml:space="preserve">4.4. GHG Protocol 2026 LSR Standard Update</w:t>
      </w:r>
    </w:p>
    <w:p>
      <w:pPr>
        <w:pStyle w:val="FirstParagraph"/>
      </w:pPr>
      <w:r>
        <w:t xml:space="preserve">The GHG Protocol\'s Land Sector and Removals (LSR) Standard, released in January 2026 and effective January 1, 2027, provides</w:t>
      </w:r>
      <w:r>
        <w:t xml:space="preserve"> </w:t>
      </w:r>
      <w:r>
        <w:t xml:space="preserve">accounting requirements and guidance for land-based GHG emissions and CO2 removals.</w:t>
      </w:r>
      <w:r>
        <w:t xml:space="preserve"> </w:t>
      </w:r>
      <w:r>
        <w:t xml:space="preserve">While direct land-use change or land management activities are not explicitly detailed for myqgkhrwne in the provided parameters,</w:t>
      </w:r>
      <w:r>
        <w:t xml:space="preserve"> </w:t>
      </w:r>
      <w:r>
        <w:t xml:space="preserve">the LSR Standard\'s principles would be applied if raw materials (e.g., biomass-derived plastics, timber products)</w:t>
      </w:r>
      <w:r>
        <w:t xml:space="preserve"> </w:t>
      </w:r>
      <w:r>
        <w:t xml:space="preserve">involved significant land-based impacts or carbon sequestration. This standard allows companies to track and report on</w:t>
      </w:r>
      <w:r>
        <w:t xml:space="preserve"> </w:t>
      </w:r>
      <w:r>
        <w:t xml:space="preserve">carbon removals, including land management removals and technological removals. For myqgkhrwne, any future</w:t>
      </w:r>
      <w:r>
        <w:t xml:space="preserve"> </w:t>
      </w:r>
      <w:r>
        <w:t xml:space="preserve">assessment would consider the land footprint of agricultural feedstocks or forest products if they are part of the BOM.</w:t>
      </w:r>
      <w:r>
        <w:t xml:space="preserve"> </w:t>
      </w:r>
      <w:r>
        <w:t xml:space="preserve">The accompanying LSR Guidance, expected in Q2 2026, will provide more practical implementation details.</w:t>
      </w:r>
    </w:p>
    <w:bookmarkEnd w:id="40"/>
    <w:bookmarkStart w:id="41" w:name="scope-3-compliance"/>
    <w:p>
      <w:pPr>
        <w:pStyle w:val="Heading3"/>
      </w:pPr>
      <w:r>
        <w:t xml:space="preserve">4.5. Scope 3 Compliance</w:t>
      </w:r>
    </w:p>
    <w:p>
      <w:pPr>
        <w:pStyle w:val="FirstParagraph"/>
      </w:pPr>
      <w:r>
        <w:t xml:space="preserve">As per 2026 requirements, efforts have been made to ensure at least 95% coverage for Scope 3 reporting.</w:t>
      </w:r>
      <w:r>
        <w:t xml:space="preserve"> </w:t>
      </w:r>
      <w:r>
        <w:t xml:space="preserve">This analysis aims for comprehensive inclusion of significant upstream and downstream emission sources to achieve this compliance target.</w:t>
      </w:r>
    </w:p>
    <w:bookmarkEnd w:id="41"/>
    <w:bookmarkStart w:id="42" w:name="summary-of-emissions-by-scope"/>
    <w:p>
      <w:pPr>
        <w:pStyle w:val="Heading3"/>
      </w:pPr>
      <w:r>
        <w:t xml:space="preserve">4.6. Summary of Emissions by Scope</w:t>
      </w:r>
    </w:p>
    <w:p>
      <w:pPr>
        <w:pStyle w:val="FirstParagraph"/>
      </w:pPr>
      <w:r>
        <w:t xml:space="preserve">Here\'s a summary of the calculated Product Carbon Footprint for 1.0 unit of myqgkhrwne: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Emission Scope</w:t>
            </w:r>
          </w:p>
        </w:tc>
        <w:tc>
          <w:tcPr/>
          <w:p>
            <w:pPr>
              <w:pStyle w:val="Compact"/>
              <w:jc w:val="left"/>
            </w:pPr>
            <w:r>
              <w:t xml:space="preserve">Lifecycle Stage</w:t>
            </w:r>
          </w:p>
        </w:tc>
        <w:tc>
          <w:tcPr/>
          <w:p>
            <w:pPr>
              <w:pStyle w:val="Compact"/>
              <w:jc w:val="left"/>
            </w:pPr>
            <w:r>
              <w:t xml:space="preserve">Calculated Emissions (kgCO2e/unit)</w:t>
            </w:r>
          </w:p>
        </w:tc>
      </w:tr>
      <w:tr>
        <w:tc>
          <w:tcPr/>
          <w:p>
            <w:pPr>
              <w:pStyle w:val="Compact"/>
              <w:jc w:val="left"/>
            </w:pPr>
            <w:r>
              <w:t xml:space="preserve">Scope 1</w:t>
            </w:r>
          </w:p>
        </w:tc>
        <w:tc>
          <w:tcPr/>
          <w:p>
            <w:pPr>
              <w:pStyle w:val="Compact"/>
              <w:jc w:val="left"/>
            </w:pPr>
            <w:r>
              <w:t xml:space="preserve">Direct Emissions (On-site Fuel Combustion)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 in China)</w:t>
            </w:r>
          </w:p>
        </w:tc>
        <w:tc>
          <w:tcPr/>
          <w:p>
            <w:pPr>
              <w:pStyle w:val="Compact"/>
              <w:jc w:val="left"/>
            </w:pPr>
            <w:r>
              <w:t xml:space="preserve">19.95</w:t>
            </w:r>
          </w:p>
        </w:tc>
      </w:tr>
      <w:tr>
        <w:tc>
          <w:tcPr>
            <w:vMerge w:val="restart"/>
          </w:tcPr>
          <w:p>
            <w:pPr>
              <w:pStyle w:val="Compact"/>
              <w:jc w:val="left"/>
            </w:pPr>
            <w:r>
              <w:t xml:space="preserve">Scope 3</w:t>
            </w:r>
          </w:p>
        </w:tc>
        <w:tc>
          <w:tcPr/>
          <w:p>
            <w:pPr>
              <w:pStyle w:val="Compact"/>
              <w:jc w:val="left"/>
            </w:pPr>
            <w:r>
              <w:t xml:space="preserve">Upstream: Material Acquisition &amp; Pre-processing</w:t>
            </w:r>
          </w:p>
        </w:tc>
        <w:tc>
          <w:tcPr/>
          <w:p>
            <w:pPr>
              <w:pStyle w:val="Compact"/>
              <w:jc w:val="left"/>
            </w:pPr>
            <w:r>
              <w:t xml:space="preserve">10.04</w:t>
            </w:r>
          </w:p>
        </w:tc>
      </w:tr>
      <w:tr>
        <w:tc>
          <w:tcPr>
            <w:gridSpan w:val="1"/>
            <w:vMerge w:val="continue"/>
          </w:tcPr>
          <w:p>
            <w:pPr/>
          </w:p>
        </w:tc>
        <w:tc>
          <w:tcPr/>
          <w:p>
            <w:pPr>
              <w:pStyle w:val="Compact"/>
              <w:jc w:val="left"/>
            </w:pPr>
            <w:r>
              <w:t xml:space="preserve">Upstream: Inbound Logistics (Raw Materials &amp; Components)</w:t>
            </w:r>
          </w:p>
        </w:tc>
        <w:tc>
          <w:tcPr/>
          <w:p>
            <w:pPr>
              <w:pStyle w:val="Compact"/>
              <w:jc w:val="left"/>
            </w:pPr>
            <w:r>
              <w:t xml:space="preserve">0.24</w:t>
            </w:r>
          </w:p>
        </w:tc>
      </w:tr>
      <w:tr>
        <w:tc>
          <w:tcPr>
            <w:gridSpan w:val="1"/>
            <w:vMerge w:val="continue"/>
          </w:tcPr>
          <w:p>
            <w:pPr/>
          </w:p>
        </w:tc>
        <w:tc>
          <w:tcPr/>
          <w:p>
            <w:pPr>
              <w:pStyle w:val="Compact"/>
              <w:jc w:val="left"/>
            </w:pPr>
            <w:r>
              <w:t xml:space="preserve">Downstream: Outbound Logistics (Finished Product to Customer)</w:t>
            </w:r>
          </w:p>
        </w:tc>
        <w:tc>
          <w:tcPr/>
          <w:p>
            <w:pPr>
              <w:pStyle w:val="Compact"/>
              <w:jc w:val="left"/>
            </w:pPr>
            <w:r>
              <w:t xml:space="preserve">0.545</w:t>
            </w:r>
          </w:p>
        </w:tc>
      </w:tr>
      <w:tr>
        <w:tc>
          <w:tcPr>
            <w:gridSpan w:val="1"/>
            <w:vMerge w:val="continue"/>
          </w:tcPr>
          <w:p>
            <w:pPr/>
          </w:p>
        </w:tc>
        <w:tc>
          <w:tcPr/>
          <w:p>
            <w:pPr>
              <w:pStyle w:val="Compact"/>
              <w:jc w:val="left"/>
            </w:pPr>
            <w:r>
              <w:t xml:space="preserve">Downstream: Use Phase</w:t>
            </w:r>
          </w:p>
        </w:tc>
        <w:tc>
          <w:tcPr/>
          <w:p>
            <w:pPr>
              <w:pStyle w:val="Compact"/>
              <w:jc w:val="left"/>
            </w:pPr>
            <w:r>
              <w:t xml:space="preserve">14.00</w:t>
            </w:r>
          </w:p>
        </w:tc>
      </w:tr>
      <w:tr>
        <w:tc>
          <w:tcPr/>
          <w:p>
            <w:pPr>
              <w:pStyle w:val="Compact"/>
              <w:jc w:val="left"/>
            </w:pPr>
            <w:r>
              <w:t xml:space="preserve">Scope 3 (Net)</w:t>
            </w:r>
          </w:p>
        </w:tc>
        <w:tc>
          <w:tcPr/>
          <w:p>
            <w:pPr>
              <w:pStyle w:val="Compact"/>
              <w:jc w:val="left"/>
            </w:pPr>
            <w:r>
              <w:t xml:space="preserve">Downstream: End-of-Life Treatment (including avoided emissions)</w:t>
            </w:r>
          </w:p>
        </w:tc>
        <w:tc>
          <w:tcPr/>
          <w:p>
            <w:pPr>
              <w:pStyle w:val="Compact"/>
              <w:jc w:val="left"/>
            </w:pPr>
            <w:r>
              <w:t xml:space="preserve">-4.27</w:t>
            </w:r>
          </w:p>
        </w:tc>
      </w:tr>
      <w:tr>
        <w:tc>
          <w:tcPr>
            <w:gridSpan w:val="2"/>
          </w:tcPr>
          <w:p>
            <w:pPr>
              <w:pStyle w:val="Compact"/>
              <w:jc w:val="right"/>
            </w:pPr>
            <w:r>
              <w:t xml:space="preserve">TOTAL PRODUCT CARBON FOOTPRINT (PCF):</w:t>
            </w:r>
          </w:p>
        </w:tc>
        <w:tc>
          <w:tcPr/>
          <w:p>
            <w:pPr>
              <w:pStyle w:val="Compact"/>
              <w:jc w:val="left"/>
            </w:pPr>
            <w:r>
              <w:t xml:space="preserve">40.505 kgCO2e/unit</w:t>
            </w:r>
          </w:p>
        </w:tc>
      </w:tr>
    </w:tbl>
    <w:p>
      <w:r>
        <w:pict>
          <v:rect style="width:0;height:1.5pt" o:hralign="center" o:hrstd="t" o:hr="t"/>
        </w:pict>
      </w:r>
    </w:p>
    <w:bookmarkEnd w:id="42"/>
    <w:bookmarkEnd w:id="43"/>
    <w:bookmarkStart w:id="47" w:name="review-report"/>
    <w:p>
      <w:pPr>
        <w:pStyle w:val="Heading2"/>
      </w:pPr>
      <w:r>
        <w:t xml:space="preserve">5. Review &amp; Report</w:t>
      </w:r>
    </w:p>
    <w:bookmarkStart w:id="44" w:name="total-product-carbon-footprint-pcf"/>
    <w:p>
      <w:pPr>
        <w:pStyle w:val="Heading3"/>
      </w:pPr>
      <w:r>
        <w:t xml:space="preserve">5.1. Total Product Carbon Footprint (PCF)</w:t>
      </w:r>
    </w:p>
    <w:p>
      <w:pPr>
        <w:pStyle w:val="FirstParagraph"/>
      </w:pPr>
      <w:r>
        <w:t xml:space="preserve">The total Product Carbon Footprint for one functional unit of myqgkhrwne is calculated to be</w:t>
      </w:r>
      <w:r>
        <w:t xml:space="preserve"> </w:t>
      </w:r>
      <w:r>
        <w:rPr>
          <w:bCs/>
          <w:b/>
        </w:rPr>
        <w:t xml:space="preserve">40.51 kgCO2e/unit</w:t>
      </w:r>
      <w:r>
        <w:t xml:space="preserve">.</w:t>
      </w:r>
    </w:p>
    <w:bookmarkEnd w:id="44"/>
    <w:bookmarkStart w:id="45" w:name="emission-hotspots"/>
    <w:p>
      <w:pPr>
        <w:pStyle w:val="Heading3"/>
      </w:pPr>
      <w:r>
        <w:t xml:space="preserve">5.2. Emission Hotspots</w:t>
      </w:r>
    </w:p>
    <w:p>
      <w:pPr>
        <w:pStyle w:val="FirstParagraph"/>
      </w:pPr>
      <w:r>
        <w:t xml:space="preserve">The analysis reveals the following significant emission hotspots:</w:t>
      </w:r>
    </w:p>
    <w:p>
      <w:pPr>
        <w:numPr>
          <w:ilvl w:val="0"/>
          <w:numId w:val="1016"/>
        </w:numPr>
        <w:pStyle w:val="Compact"/>
      </w:pPr>
      <w:r>
        <w:rPr>
          <w:bCs/>
          <w:b/>
        </w:rPr>
        <w:t xml:space="preserve">Manufacturing Energy (Scope 2):</w:t>
      </w:r>
      <w:r>
        <w:t xml:space="preserve"> </w:t>
      </w:r>
      <w:r>
        <w:t xml:space="preserve">At 19.95 kgCO2e/unit, the purchased electricity for manufacturing in China (due to the carbon intensity of the grid) represents the largest single contributor to the product\'s footprint. Increasing renewable energy usage beyond the current 30% (keqprkxgzp) or sourcing from regions with lower grid emission factors would significantly reduce this impact.</w:t>
      </w:r>
    </w:p>
    <w:p>
      <w:pPr>
        <w:numPr>
          <w:ilvl w:val="0"/>
          <w:numId w:val="1016"/>
        </w:numPr>
        <w:pStyle w:val="Compact"/>
      </w:pPr>
      <w:r>
        <w:rPr>
          <w:bCs/>
          <w:b/>
        </w:rPr>
        <w:t xml:space="preserve">Use Phase (Downstream Scope 3):</w:t>
      </w:r>
      <w:r>
        <w:t xml:space="preserve"> </w:t>
      </w:r>
      <w:r>
        <w:t xml:space="preserve">The energy consumed during the product\'s lifespan (14.00 kgCO2e/unit) is the second largest hotspot. Improving product energy efficiency (yzgizyxkto) and encouraging usage with renewable energy sources are critical.</w:t>
      </w:r>
    </w:p>
    <w:p>
      <w:pPr>
        <w:numPr>
          <w:ilvl w:val="0"/>
          <w:numId w:val="1016"/>
        </w:numPr>
        <w:pStyle w:val="Compact"/>
      </w:pPr>
      <w:r>
        <w:rPr>
          <w:bCs/>
          <w:b/>
        </w:rPr>
        <w:t xml:space="preserve">Material Acquisition (Upstream Scope 3):</w:t>
      </w:r>
      <w:r>
        <w:t xml:space="preserve"> </w:t>
      </w:r>
      <w:r>
        <w:t xml:space="preserve">The embedded emissions from raw material production (10.04 kgCO2e/unit) are substantial, particularly from materials like aluminum and lithium-ion batteries. Prioritizing low-carbon materials, recycled content, and working with suppliers to reduce their production footprints are key strategies.</w:t>
      </w:r>
    </w:p>
    <w:p>
      <w:pPr>
        <w:numPr>
          <w:ilvl w:val="0"/>
          <w:numId w:val="1016"/>
        </w:numPr>
        <w:pStyle w:val="Compact"/>
      </w:pPr>
      <w:r>
        <w:rPr>
          <w:bCs/>
          <w:b/>
        </w:rPr>
        <w:t xml:space="preserve">End-of-Life (Downstream Scope 3):</w:t>
      </w:r>
      <w:r>
        <w:t xml:space="preserve"> </w:t>
      </w:r>
      <w:r>
        <w:t xml:space="preserve">The circular economy impacts, specifically the significant avoided emissions from recycling aluminum, resulted in a net negative contribution for this stage, highlighting the positive effect of the high recyclability percentage (vigulpdedh) and circular programs (qpsjhpmtvh). Expanding these efforts could further reduce the overall footprint.</w:t>
      </w:r>
    </w:p>
    <w:bookmarkEnd w:id="45"/>
    <w:bookmarkStart w:id="46" w:name="reliability-and-recommendations"/>
    <w:p>
      <w:pPr>
        <w:pStyle w:val="Heading3"/>
      </w:pPr>
      <w:r>
        <w:t xml:space="preserve">5.3. Reliability and Recommendations</w:t>
      </w:r>
    </w:p>
    <w:p>
      <w:pPr>
        <w:pStyle w:val="FirstParagraph"/>
      </w:pPr>
      <w:r>
        <w:t xml:space="preserve">The reliability of this report is based on the specific data provided for the Bill of Materials (vpzrgvns) and customized energy/use phase parameters. Where primary data was not available, industry-standard emission factors from reputable databases (e.g., Ecoinvent, DEFRA-equivalent sources) have been applied for transport, energy grids, and end-of-life scenarios. The assumed numerical values for distances, consumption, and percentages (ujgxglgutt, keqprkxgzp, rpuqimpthn, hmgpghhmph, yzgizyxkto, vigulpdedh) are illustrative to demonstrate the methodology.</w:t>
      </w:r>
    </w:p>
    <w:p>
      <w:pPr>
        <w:pStyle w:val="BodyText"/>
      </w:pPr>
      <w:r>
        <w:t xml:space="preserve">To enhance the accuracy and drive further reductions,</w:t>
      </w:r>
      <w:r>
        <w:t xml:space="preserve"> </w:t>
      </w:r>
      <w:r>
        <w:rPr>
          <w:bCs/>
          <w:b/>
        </w:rPr>
        <w:t xml:space="preserve">knkhdxsngg</w:t>
      </w:r>
      <w:r>
        <w:t xml:space="preserve"> </w:t>
      </w:r>
      <w:r>
        <w:t xml:space="preserve">is recommended to:</w:t>
      </w:r>
    </w:p>
    <w:p>
      <w:pPr>
        <w:numPr>
          <w:ilvl w:val="0"/>
          <w:numId w:val="1017"/>
        </w:numPr>
        <w:pStyle w:val="Compact"/>
      </w:pPr>
      <w:r>
        <w:t xml:space="preserve">Collect more specific primary data for all supply chain stages, especially for complex components in the BOM and actual transport routes.</w:t>
      </w:r>
    </w:p>
    <w:p>
      <w:pPr>
        <w:numPr>
          <w:ilvl w:val="0"/>
          <w:numId w:val="1017"/>
        </w:numPr>
        <w:pStyle w:val="Compact"/>
      </w:pPr>
      <w:r>
        <w:t xml:space="preserve">Investigate opportunities to further decarbonize manufacturing operations in China, focusing on increasing renewable energy procurement.</w:t>
      </w:r>
    </w:p>
    <w:p>
      <w:pPr>
        <w:numPr>
          <w:ilvl w:val="0"/>
          <w:numId w:val="1017"/>
        </w:numPr>
        <w:pStyle w:val="Compact"/>
      </w:pPr>
      <w:r>
        <w:t xml:space="preserve">Design for enhanced product energy efficiency during the use phase and promote renewable energy use by end-consumers.</w:t>
      </w:r>
    </w:p>
    <w:p>
      <w:pPr>
        <w:numPr>
          <w:ilvl w:val="0"/>
          <w:numId w:val="1017"/>
        </w:numPr>
        <w:pStyle w:val="Compact"/>
      </w:pPr>
      <w:r>
        <w:t xml:space="preserve">Expand and optimize circular/take-back programs (qpsjhpmtvh) to maximize material recovery and recycling rates.</w:t>
      </w:r>
    </w:p>
    <w:p>
      <w:pPr>
        <w:numPr>
          <w:ilvl w:val="0"/>
          <w:numId w:val="1017"/>
        </w:numPr>
        <w:pStyle w:val="Compact"/>
      </w:pPr>
      <w:r>
        <w:t xml:space="preserve">Engage with suppliers to encourage the use of lower-carbon materials and sustainable production practices throughout the upstream value chain.</w:t>
      </w:r>
    </w:p>
    <w:p>
      <w:pPr>
        <w:pStyle w:val="FirstParagraph"/>
      </w:pPr>
      <w:r>
        <w:t xml:space="preserve">Confidential - Internal Use Only.</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myqgkhrwne</dc:title>
  <dc:creator/>
  <dc:description>Detailed Product Carbon Footprint (PCF) analysis for myqgkhrwne by Senior Sustainability Consultant zozoqgdklg following GHG Protocol standards for knkhdxsngg.</dc:description>
  <dc:language>en</dc:language>
  <cp:keywords/>
  <dcterms:created xsi:type="dcterms:W3CDTF">2026-05-30T10:36:58Z</dcterms:created>
  <dcterms:modified xsi:type="dcterms:W3CDTF">2026-05-30T10:36:58Z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