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myisdpnzwt</w:t>
      </w:r>
      <w:r>
        <w:t xml:space="preserve"> </w:t>
      </w:r>
      <w:r>
        <w:t xml:space="preserve">-</w:t>
      </w:r>
      <w:r>
        <w:t xml:space="preserve"> </w:t>
      </w:r>
      <w:r>
        <w:t xml:space="preserve">ogiquzupez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myisdpnzwt</w:t>
      </w:r>
    </w:p>
    <w:p>
      <w:pPr>
        <w:pStyle w:val="BodyText"/>
      </w:pPr>
      <w:r>
        <w:rPr>
          <w:bCs/>
          <w:b/>
        </w:rPr>
        <w:t xml:space="preserve">Company Name:</w:t>
      </w:r>
      <w:r>
        <w:t xml:space="preserve"> </w:t>
      </w:r>
      <w:r>
        <w:t xml:space="preserve">ogiquzupez</w:t>
      </w:r>
    </w:p>
    <w:p>
      <w:pPr>
        <w:pStyle w:val="BodyText"/>
      </w:pPr>
      <w:r>
        <w:rPr>
          <w:bCs/>
          <w:b/>
        </w:rPr>
        <w:t xml:space="preserve">Senior Sustainability Consultant:</w:t>
      </w:r>
      <w:r>
        <w:t xml:space="preserve"> </w:t>
      </w:r>
      <w:r>
        <w:t xml:space="preserve">jupuzokxvp</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Actual emissions may vary based on specific operational details and data accuracy.</w:t>
      </w:r>
    </w:p>
    <w:bookmarkEnd w:id="20"/>
    <w:p>
      <w:pPr>
        <w:pStyle w:val="BodyText"/>
      </w:pPr>
      <w:r>
        <w:t xml:space="preserve">Generated Date: May 28, 2026</w:t>
      </w:r>
    </w:p>
    <w:bookmarkStart w:id="49" w:name="executive-summary"/>
    <w:p>
      <w:pPr>
        <w:pStyle w:val="Heading1"/>
      </w:pPr>
      <w:r>
        <w:t xml:space="preserve">Executive Summary</w:t>
      </w:r>
    </w:p>
    <w:p>
      <w:pPr>
        <w:pStyle w:val="FirstParagraph"/>
      </w:pPr>
      <w:r>
        <w:t xml:space="preserve">This report presents a high-detail Product Carbon Footprint (PCF) analysis for \'myisdpnzwt\' manufactured by \'ogiquzupez\'. Conducted by Senior Sustainability Consultant \'jupuzokxvp\', this analysis adheres rigorously to the GHG Protocol, including the 2026 Land Sector and Removals (LSR) Standard update and aims for at least 95% Scope 3 coverage. The primary objective is to quantify the greenhouse gas (GHG) emissions associated with the product\'s lifecycle, from material acquisition to end-of-life, within a \'factory_gate\' system boundary.</w:t>
      </w:r>
    </w:p>
    <w:p>
      <w:pPr>
        <w:pStyle w:val="BodyText"/>
      </w:pPr>
      <w:r>
        <w:t xml:space="preserve">The analysis leverages a detailed Bill of Materials (BOM), specific energy usage data, and customized logistics information to provide a comprehensive understanding of the product\'s environmental impact. Key emission hotspots are identified across the lifecycle stages, offering actionable insights for emission reduction strategies.</w:t>
      </w:r>
    </w:p>
    <w:p>
      <w:r>
        <w:pict>
          <v:rect style="width:0;height:1.5pt" o:hralign="center" o:hrstd="t" o:hr="t"/>
        </w:pict>
      </w:r>
    </w:p>
    <w:bookmarkStart w:id="26" w:name="define-scope"/>
    <w:p>
      <w:pPr>
        <w:pStyle w:val="Heading2"/>
      </w:pPr>
      <w:r>
        <w:t xml:space="preserve">1. Define Scope</w:t>
      </w:r>
    </w:p>
    <w:bookmarkStart w:id="21"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myisdpnzwt</w:t>
      </w:r>
      <w:r>
        <w:t xml:space="preserve">. This unit serves as the reference basis for quantifying all associated environmental impacts throughout the product\'s lifecycle.</w:t>
      </w:r>
    </w:p>
    <w:bookmarkEnd w:id="21"/>
    <w:bookmarkStart w:id="22" w:name="system-boundary"/>
    <w:p>
      <w:pPr>
        <w:pStyle w:val="Heading3"/>
      </w:pPr>
      <w:r>
        <w:t xml:space="preserve">System Boundary</w:t>
      </w:r>
    </w:p>
    <w:p>
      <w:pPr>
        <w:pStyle w:val="FirstParagraph"/>
      </w:pPr>
      <w:r>
        <w:t xml:space="preserve">The system boundary for this analysis is set as</w:t>
      </w:r>
      <w:r>
        <w:t xml:space="preserve"> </w:t>
      </w:r>
      <w:r>
        <w:rPr>
          <w:bCs/>
          <w:b/>
        </w:rPr>
        <w:t xml:space="preserve">factory_gate</w:t>
      </w:r>
      <w:r>
        <w:t xml:space="preserve">. This encompasses all processes from the extraction and processing of raw materials (cradle) up to the point where the finished product leaves the manufacturing facility (factory gate). For comprehensive GHG Protocol compliance, particularly for Scope 3, relevant downstream stages such as transportation, use phase, and end-of-life treatment are also included, extending beyond the strict factory gate definition to a \'cradle-to-grave\' perspective where applicable within Scope 3 categories.</w:t>
      </w:r>
    </w:p>
    <w:bookmarkEnd w:id="22"/>
    <w:bookmarkStart w:id="23" w:name="geographic-scope"/>
    <w:p>
      <w:pPr>
        <w:pStyle w:val="Heading3"/>
      </w:pPr>
      <w:r>
        <w:t xml:space="preserve">Geographic Scope</w:t>
      </w:r>
    </w:p>
    <w:p>
      <w:pPr>
        <w:pStyle w:val="FirstParagraph"/>
      </w:pPr>
      <w:r>
        <w:t xml:space="preserve">The geographic scope covers the entire supply chain, with a specific focus:</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upstream processes, where relevant and data allows).</w:t>
      </w:r>
    </w:p>
    <w:bookmarkEnd w:id="23"/>
    <w:bookmarkStart w:id="24" w:name="allocation"/>
    <w:p>
      <w:pPr>
        <w:pStyle w:val="Heading3"/>
      </w:pPr>
      <w:r>
        <w:t xml:space="preserve">Allocation</w:t>
      </w:r>
    </w:p>
    <w:p>
      <w:pPr>
        <w:pStyle w:val="FirstParagraph"/>
      </w:pPr>
      <w:r>
        <w:t xml:space="preserve">Emissions are allocated based on physical causality where possible. For co-products or multi-output processes, allocation is performed using generally accepted methods as per the GHG Protocol, such as mass-based allocation. Recycled content benefits are accounted for using the \'cut-off\' approach, where emissions from virgin material production are attributed fully to the first product generation, and only reprocessing emissions are attributed to subsequent generations using recycled content. Benefits from recyclability at End-of-Life are accounted for as avoided emissions.</w:t>
      </w:r>
    </w:p>
    <w:bookmarkEnd w:id="24"/>
    <w:bookmarkStart w:id="25" w:name="accounting-standard"/>
    <w:p>
      <w:pPr>
        <w:pStyle w:val="Heading3"/>
      </w:pPr>
      <w:r>
        <w:t xml:space="preserve">Accounting Standard</w:t>
      </w:r>
    </w:p>
    <w:p>
      <w:pPr>
        <w:pStyle w:val="FirstParagraph"/>
      </w:pPr>
      <w:r>
        <w:t xml:space="preserve">This Product Carbon Footprint (PCF) analysis strictly adheres to the</w:t>
      </w:r>
      <w:r>
        <w:t xml:space="preserve"> </w:t>
      </w:r>
      <w:r>
        <w:rPr>
          <w:bCs/>
          <w:b/>
        </w:rPr>
        <w:t xml:space="preserve">GHG Protocol (A Corporate Accounting and Reporting Standard and Corporate Value Chain (Scope 3) Accounting and Reporting Standard)</w:t>
      </w:r>
      <w:r>
        <w:t xml:space="preserve">. Emissions are categorized into Scope 1 (direct emissions), Scope 2 (indirect emissions from purchased energy), and Scope 3 (all other indirect emissions across the value chain).</w:t>
      </w:r>
    </w:p>
    <w:p>
      <w:pPr>
        <w:pStyle w:val="BodyText"/>
      </w:pPr>
      <w:r>
        <w:t xml:space="preserve">Furthermore, this report incorporates the principles of the</w:t>
      </w:r>
      <w:r>
        <w:t xml:space="preserve"> </w:t>
      </w:r>
      <w:r>
        <w:rPr>
          <w:bCs/>
          <w:b/>
        </w:rPr>
        <w:t xml:space="preserve">2026 Land Sector and Removals (LSR) Standard Update</w:t>
      </w:r>
      <w:r>
        <w:t xml:space="preserve"> </w:t>
      </w:r>
      <w:r>
        <w:t xml:space="preserve">for land use and carbon removals. The LSR Standard, released by the GHG Protocol on January 30, 2026, and effective January 1, 2027, provides accounting requirements for entities with significant land sector activities and those choosing to report CO2 removals or capture with geologic storage. While specific guidance for implementation is anticipated in Q2 2026, the report conceptually applies these considerations, particularly for upstream biogenic or land-intensive materials.</w:t>
      </w:r>
    </w:p>
    <w:p>
      <w:pPr>
        <w:pStyle w:val="BodyText"/>
      </w:pPr>
      <w:r>
        <w:t xml:space="preserve">A critical focus is placed on achieving at least</w:t>
      </w:r>
      <w:r>
        <w:t xml:space="preserve"> </w:t>
      </w:r>
      <w:r>
        <w:rPr>
          <w:bCs/>
          <w:b/>
        </w:rPr>
        <w:t xml:space="preserve">95% coverage for Scope 3 reporting</w:t>
      </w:r>
      <w:r>
        <w:t xml:space="preserve">, aligning with 2026 requirements for comprehensive value chain emission disclosure.</w:t>
      </w:r>
    </w:p>
    <w:p>
      <w:r>
        <w:pict>
          <v:rect style="width:0;height:1.5pt" o:hralign="center" o:hrstd="t" o:hr="t"/>
        </w:pict>
      </w:r>
    </w:p>
    <w:bookmarkEnd w:id="25"/>
    <w:bookmarkEnd w:id="26"/>
    <w:bookmarkStart w:id="32" w:name="map-lifecycle-3.-collect-data"/>
    <w:p>
      <w:pPr>
        <w:pStyle w:val="Heading2"/>
      </w:pPr>
      <w:r>
        <w:t xml:space="preserve">2. Map Lifecycle &amp; 3. Collect Data</w:t>
      </w:r>
    </w:p>
    <w:p>
      <w:pPr>
        <w:pStyle w:val="FirstParagraph"/>
      </w:pPr>
      <w:r>
        <w:t xml:space="preserve">The lifecycle of \'myisdpnzwt\' is mapped into several stages, consistent with a \'cradle-to-grave\' perspective for comprehensive Scope 3 analysis:</w:t>
      </w:r>
    </w:p>
    <w:p>
      <w:pPr>
        <w:numPr>
          <w:ilvl w:val="0"/>
          <w:numId w:val="1002"/>
        </w:numPr>
        <w:pStyle w:val="Compact"/>
      </w:pPr>
      <w:r>
        <w:rPr>
          <w:bCs/>
          <w:b/>
        </w:rPr>
        <w:t xml:space="preserve">Material Acquisition &amp; Pre-processing:</w:t>
      </w:r>
      <w:r>
        <w:t xml:space="preserve"> </w:t>
      </w:r>
      <w:r>
        <w:t xml:space="preserve">Extraction, processing, and manufacturing of raw materials.</w:t>
      </w:r>
    </w:p>
    <w:p>
      <w:pPr>
        <w:numPr>
          <w:ilvl w:val="0"/>
          <w:numId w:val="1002"/>
        </w:numPr>
        <w:pStyle w:val="Compact"/>
      </w:pPr>
      <w:r>
        <w:rPr>
          <w:bCs/>
          <w:b/>
        </w:rPr>
        <w:t xml:space="preserve">Manufacturing/Production:</w:t>
      </w:r>
      <w:r>
        <w:t xml:space="preserve"> </w:t>
      </w:r>
      <w:r>
        <w:t xml:space="preserve">Processes occurring at the \'ogiquzupez\' facility in China.</w:t>
      </w:r>
    </w:p>
    <w:p>
      <w:pPr>
        <w:numPr>
          <w:ilvl w:val="0"/>
          <w:numId w:val="1002"/>
        </w:numPr>
        <w:pStyle w:val="Compact"/>
      </w:pPr>
      <w:r>
        <w:rPr>
          <w:bCs/>
          <w:b/>
        </w:rPr>
        <w:t xml:space="preserve">Transportation (Upstream):</w:t>
      </w:r>
      <w:r>
        <w:t xml:space="preserve"> </w:t>
      </w:r>
      <w:r>
        <w:t xml:space="preserve">Transport of raw materials and components to the manufacturing facility.</w:t>
      </w:r>
    </w:p>
    <w:p>
      <w:pPr>
        <w:numPr>
          <w:ilvl w:val="0"/>
          <w:numId w:val="1002"/>
        </w:numPr>
        <w:pStyle w:val="Compact"/>
      </w:pPr>
      <w:r>
        <w:rPr>
          <w:bCs/>
          <w:b/>
        </w:rPr>
        <w:t xml:space="preserve">Transportation (Downstream):</w:t>
      </w:r>
      <w:r>
        <w:t xml:space="preserve"> </w:t>
      </w:r>
      <w:r>
        <w:t xml:space="preserve">Transport of finished products from the factory to the customer.</w:t>
      </w:r>
    </w:p>
    <w:p>
      <w:pPr>
        <w:numPr>
          <w:ilvl w:val="0"/>
          <w:numId w:val="1002"/>
        </w:numPr>
        <w:pStyle w:val="Compact"/>
      </w:pPr>
      <w:r>
        <w:rPr>
          <w:bCs/>
          <w:b/>
        </w:rPr>
        <w:t xml:space="preserve">Use Phase:</w:t>
      </w:r>
      <w:r>
        <w:t xml:space="preserve"> </w:t>
      </w:r>
      <w:r>
        <w:t xml:space="preserve">Energy consumption and other impacts during the product\'s lifespan by the end-user.</w:t>
      </w:r>
    </w:p>
    <w:p>
      <w:pPr>
        <w:numPr>
          <w:ilvl w:val="0"/>
          <w:numId w:val="1002"/>
        </w:numPr>
        <w:pStyle w:val="Compact"/>
      </w:pPr>
      <w:r>
        <w:rPr>
          <w:bCs/>
          <w:b/>
        </w:rPr>
        <w:t xml:space="preserve">End-of-Life:</w:t>
      </w:r>
      <w:r>
        <w:t xml:space="preserve"> </w:t>
      </w:r>
      <w:r>
        <w:t xml:space="preserve">Disposal, recycling, or recovery processes for the product.</w:t>
      </w:r>
    </w:p>
    <w:bookmarkStart w:id="27" w:name="X8665c5577a1304d18e094aa64a1dcb91cb081ff"/>
    <w:p>
      <w:pPr>
        <w:pStyle w:val="Heading3"/>
      </w:pPr>
      <w:r>
        <w:t xml:space="preserve">Data Collection: Bill of Materials (BOM) - yespsrnj</w:t>
      </w:r>
    </w:p>
    <w:p>
      <w:pPr>
        <w:pStyle w:val="FirstParagraph"/>
      </w:pPr>
      <w:r>
        <w:t xml:space="preserve">The following detailed Bill of Materials (BOM) for \'myisdpnzwt\' has been utilized for high-accuracy material impact calculation. Emission factors are based on industry standards (e.g., Ecoinvent/DEFRA) for the respective material categories and processes, adapted for a Europe-focused supply chain where possible, and for China for final manufacturing. These are example factors for demonstration purposes.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Primary Production, Casting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12.0</w:t>
            </w:r>
          </w:p>
        </w:tc>
        <w:tc>
          <w:tcPr/>
          <w:p>
            <w:pPr>
              <w:pStyle w:val="Compact"/>
              <w:jc w:val="left"/>
            </w:pPr>
            <w:r>
              <w:t xml:space="preserve">3.00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&amp; 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3.5</w:t>
            </w:r>
          </w:p>
        </w:tc>
        <w:tc>
          <w:tcPr/>
          <w:p>
            <w:pPr>
              <w:pStyle w:val="Compact"/>
              <w:jc w:val="left"/>
            </w:pPr>
            <w:r>
              <w:t xml:space="preserve">3.50</w:t>
            </w:r>
          </w:p>
        </w:tc>
      </w:tr>
      <w:tr>
        <w:tc>
          <w:tcPr/>
          <w:p>
            <w:pPr>
              <w:pStyle w:val="Compact"/>
              <w:jc w:val="left"/>
            </w:pPr>
            <w:r>
              <w:t xml:space="preserve">M003</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2.8</w:t>
            </w:r>
          </w:p>
        </w:tc>
        <w:tc>
          <w:tcPr/>
          <w:p>
            <w:pPr>
              <w:pStyle w:val="Compact"/>
              <w:jc w:val="left"/>
            </w:pPr>
            <w:r>
              <w:t xml:space="preserve">0.42</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Mining &amp; 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 Cell</w:t>
            </w:r>
          </w:p>
        </w:tc>
        <w:tc>
          <w:tcPr/>
          <w:p>
            <w:pPr>
              <w:pStyle w:val="Compact"/>
              <w:jc w:val="left"/>
            </w:pPr>
            <w:r>
              <w:t xml:space="preserve">Electronics</w:t>
            </w:r>
          </w:p>
        </w:tc>
        <w:tc>
          <w:tcPr/>
          <w:p>
            <w:pPr>
              <w:pStyle w:val="Compact"/>
              <w:jc w:val="left"/>
            </w:pPr>
            <w:r>
              <w:t xml:space="preserve">Battery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bl>
    <w:p>
      <w:pPr>
        <w:pStyle w:val="BodyText"/>
      </w:pPr>
      <w:r>
        <w:rPr>
          <w:iCs/>
          <w:i/>
        </w:rPr>
        <w:t xml:space="preserve">(Note: Emission Factors are illustrative, based on typical industry averages from databases like Ecoinvent/DEFRA for a Europe-focused supply chain, where specific data for \'yespsrnj\' was not provided beyond the format.)</w:t>
      </w:r>
    </w:p>
    <w:bookmarkEnd w:id="27"/>
    <w:bookmarkStart w:id="28" w:name="Xda44d05becc8f70fd450ba9f6c824b6fac70d60"/>
    <w:p>
      <w:pPr>
        <w:pStyle w:val="Heading3"/>
      </w:pPr>
      <w:r>
        <w:t xml:space="preserve">Data Collection: Energy Inputs (Production Phase)</w:t>
      </w:r>
    </w:p>
    <w:p>
      <w:pPr>
        <w:numPr>
          <w:ilvl w:val="0"/>
          <w:numId w:val="1003"/>
        </w:numPr>
        <w:pStyle w:val="Compact"/>
      </w:pPr>
      <w:r>
        <w:rPr>
          <w:bCs/>
          <w:b/>
        </w:rPr>
        <w:t xml:space="preserve">Renewable Energy Usage (uxyggwfjvz):</w:t>
      </w:r>
      <w:r>
        <w:t xml:space="preserve"> </w:t>
      </w:r>
      <w:r>
        <w:t xml:space="preserve">75% (Assumed for ogiquzupez\'s manufacturing facility in China)</w:t>
      </w:r>
    </w:p>
    <w:p>
      <w:pPr>
        <w:numPr>
          <w:ilvl w:val="0"/>
          <w:numId w:val="1003"/>
        </w:numPr>
        <w:pStyle w:val="Compact"/>
      </w:pPr>
      <w:r>
        <w:rPr>
          <w:bCs/>
          <w:b/>
        </w:rPr>
        <w:t xml:space="preserve">Energy Intensity (thztyqdhzs):</w:t>
      </w:r>
      <w:r>
        <w:t xml:space="preserve"> </w:t>
      </w:r>
      <w:r>
        <w:t xml:space="preserve">5 kWh/unit</w:t>
      </w:r>
    </w:p>
    <w:p>
      <w:pPr>
        <w:numPr>
          <w:ilvl w:val="0"/>
          <w:numId w:val="1003"/>
        </w:numPr>
        <w:pStyle w:val="Compact"/>
      </w:pPr>
      <w:r>
        <w:rPr>
          <w:bCs/>
          <w:b/>
        </w:rPr>
        <w:t xml:space="preserve">Grid Electricity Emission Factor (China):</w:t>
      </w:r>
      <w:r>
        <w:t xml:space="preserve"> </w:t>
      </w:r>
      <w:r>
        <w:t xml:space="preserve">0.6 kgCO2e/kWh (Example factor, acknowledging regional variability in China)</w:t>
      </w:r>
    </w:p>
    <w:bookmarkEnd w:id="28"/>
    <w:bookmarkStart w:id="29" w:name="data-collection-logistics-data"/>
    <w:p>
      <w:pPr>
        <w:pStyle w:val="Heading3"/>
      </w:pPr>
      <w:r>
        <w:t xml:space="preserve">Data Collection: Logistics Data</w:t>
      </w:r>
    </w:p>
    <w:p>
      <w:pPr>
        <w:numPr>
          <w:ilvl w:val="0"/>
          <w:numId w:val="1004"/>
        </w:numPr>
        <w:pStyle w:val="Compact"/>
      </w:pPr>
      <w:r>
        <w:rPr>
          <w:bCs/>
          <w:b/>
        </w:rPr>
        <w:t xml:space="preserve">Transport Mode (Upstream):</w:t>
      </w:r>
      <w:r>
        <w:t xml:space="preserve"> </w:t>
      </w:r>
      <w:r>
        <w:t xml:space="preserve">Road (Heavy Goods Vehicle - HGV) (Assumed for typical component transport in Europe/China)</w:t>
      </w:r>
    </w:p>
    <w:p>
      <w:pPr>
        <w:numPr>
          <w:ilvl w:val="0"/>
          <w:numId w:val="1004"/>
        </w:numPr>
        <w:pStyle w:val="Compact"/>
      </w:pPr>
      <w:r>
        <w:rPr>
          <w:bCs/>
          <w:b/>
        </w:rPr>
        <w:t xml:space="preserve">Transport Distance (xvlnupdpjo):</w:t>
      </w:r>
      <w:r>
        <w:t xml:space="preserve"> </w:t>
      </w:r>
      <w:r>
        <w:t xml:space="preserve">1500 km (Assumed average for upstream material transport)</w:t>
      </w:r>
    </w:p>
    <w:p>
      <w:pPr>
        <w:numPr>
          <w:ilvl w:val="0"/>
          <w:numId w:val="1004"/>
        </w:numPr>
        <w:pStyle w:val="Compact"/>
      </w:pPr>
      <w:r>
        <w:rPr>
          <w:bCs/>
          <w:b/>
        </w:rPr>
        <w:t xml:space="preserve">Last-Mile Delivery Channel (Delivery Type):</w:t>
      </w:r>
      <w:r>
        <w:t xml:space="preserve"> </w:t>
      </w:r>
      <w:r>
        <w:t xml:space="preserve">Parcel Courier</w:t>
      </w:r>
    </w:p>
    <w:p>
      <w:pPr>
        <w:numPr>
          <w:ilvl w:val="0"/>
          <w:numId w:val="1004"/>
        </w:numPr>
        <w:pStyle w:val="Compact"/>
      </w:pPr>
      <w:r>
        <w:rPr>
          <w:bCs/>
          <w:b/>
        </w:rPr>
        <w:t xml:space="preserve">Last-Mile Delivery Distance:</w:t>
      </w:r>
      <w:r>
        <w:t xml:space="preserve"> </w:t>
      </w:r>
      <w:r>
        <w:t xml:space="preserve">Assumed 50 km average per unit (for calculation purposes)</w:t>
      </w:r>
    </w:p>
    <w:p>
      <w:pPr>
        <w:numPr>
          <w:ilvl w:val="0"/>
          <w:numId w:val="1004"/>
        </w:numPr>
        <w:pStyle w:val="Compact"/>
      </w:pPr>
      <w:r>
        <w:rPr>
          <w:bCs/>
          <w:b/>
        </w:rPr>
        <w:t xml:space="preserve">Road Transport Emission Factor (HGV):</w:t>
      </w:r>
      <w:r>
        <w:t xml:space="preserve"> </w:t>
      </w:r>
      <w:r>
        <w:t xml:space="preserve">0.1 kgCO2e/tkm (Example factor)</w:t>
      </w:r>
    </w:p>
    <w:p>
      <w:pPr>
        <w:numPr>
          <w:ilvl w:val="0"/>
          <w:numId w:val="1004"/>
        </w:numPr>
        <w:pStyle w:val="Compact"/>
      </w:pPr>
      <w:r>
        <w:rPr>
          <w:bCs/>
          <w:b/>
        </w:rPr>
        <w:t xml:space="preserve">Last-Mile Delivery Emission Factor (Parcel Courier):</w:t>
      </w:r>
      <w:r>
        <w:t xml:space="preserve"> </w:t>
      </w:r>
      <w:r>
        <w:t xml:space="preserve">0.2 kgCO2e/unit (Example factor, simplified from per-package data)</w:t>
      </w:r>
    </w:p>
    <w:bookmarkEnd w:id="29"/>
    <w:bookmarkStart w:id="30" w:name="data-collection-use-phase-data"/>
    <w:p>
      <w:pPr>
        <w:pStyle w:val="Heading3"/>
      </w:pPr>
      <w:r>
        <w:t xml:space="preserve">Data Collection: Use Phase Data</w:t>
      </w:r>
    </w:p>
    <w:p>
      <w:pPr>
        <w:numPr>
          <w:ilvl w:val="0"/>
          <w:numId w:val="1005"/>
        </w:numPr>
        <w:pStyle w:val="Compact"/>
      </w:pPr>
      <w:r>
        <w:rPr>
          <w:bCs/>
          <w:b/>
        </w:rPr>
        <w:t xml:space="preserve">Product Lifespan (hkvvnxmuyn):</w:t>
      </w:r>
      <w:r>
        <w:t xml:space="preserve"> </w:t>
      </w:r>
      <w:r>
        <w:t xml:space="preserve">5 years</w:t>
      </w:r>
    </w:p>
    <w:p>
      <w:pPr>
        <w:numPr>
          <w:ilvl w:val="0"/>
          <w:numId w:val="1005"/>
        </w:numPr>
        <w:pStyle w:val="Compact"/>
      </w:pPr>
      <w:r>
        <w:rPr>
          <w:bCs/>
          <w:b/>
        </w:rPr>
        <w:t xml:space="preserve">Energy Consumption in Use (siqgupirjx):</w:t>
      </w:r>
      <w:r>
        <w:t xml:space="preserve"> </w:t>
      </w:r>
      <w:r>
        <w:t xml:space="preserve">10 kWh/year</w:t>
      </w:r>
    </w:p>
    <w:p>
      <w:pPr>
        <w:numPr>
          <w:ilvl w:val="0"/>
          <w:numId w:val="1005"/>
        </w:numPr>
        <w:pStyle w:val="Compact"/>
      </w:pPr>
      <w:r>
        <w:rPr>
          <w:bCs/>
          <w:b/>
        </w:rPr>
        <w:t xml:space="preserve">User Electricity Grid Mix (Global Average):</w:t>
      </w:r>
      <w:r>
        <w:t xml:space="preserve"> </w:t>
      </w:r>
      <w:r>
        <w:t xml:space="preserve">Assumed 0.4 kgCO2e/kWh (Representative global average for end-user electricity)</w:t>
      </w:r>
    </w:p>
    <w:bookmarkEnd w:id="30"/>
    <w:bookmarkStart w:id="31" w:name="Xf4e208732b437538d426acf910990a070b702af"/>
    <w:p>
      <w:pPr>
        <w:pStyle w:val="Heading3"/>
      </w:pPr>
      <w:r>
        <w:t xml:space="preserve">Data Collection: End-of-Life (EoL) Scenarios</w:t>
      </w:r>
    </w:p>
    <w:p>
      <w:pPr>
        <w:numPr>
          <w:ilvl w:val="0"/>
          <w:numId w:val="1006"/>
        </w:numPr>
        <w:pStyle w:val="Compact"/>
      </w:pPr>
      <w:r>
        <w:rPr>
          <w:bCs/>
          <w:b/>
        </w:rPr>
        <w:t xml:space="preserve">Recyclability Percentage (tlswwimuwv):</w:t>
      </w:r>
      <w:r>
        <w:t xml:space="preserve"> </w:t>
      </w:r>
      <w:r>
        <w:t xml:space="preserve">80% (Mass-based recyclability potential)</w:t>
      </w:r>
    </w:p>
    <w:p>
      <w:pPr>
        <w:numPr>
          <w:ilvl w:val="0"/>
          <w:numId w:val="1006"/>
        </w:numPr>
        <w:pStyle w:val="Compact"/>
      </w:pPr>
      <w:r>
        <w:rPr>
          <w:bCs/>
          <w:b/>
        </w:rPr>
        <w:t xml:space="preserve">Circular/Take-back Programs (vqrngrgrmp):</w:t>
      </w:r>
      <w:r>
        <w:t xml:space="preserve"> </w:t>
      </w:r>
      <w:r>
        <w:t xml:space="preserve">Yes (Assumed 10% refurbished, 70% recycled, 20% waste for units entering program). For units not in program, default EoL applies.</w:t>
      </w:r>
    </w:p>
    <w:p>
      <w:pPr>
        <w:numPr>
          <w:ilvl w:val="0"/>
          <w:numId w:val="1006"/>
        </w:numPr>
        <w:pStyle w:val="Compact"/>
      </w:pPr>
      <w:r>
        <w:rPr>
          <w:bCs/>
          <w:b/>
        </w:rPr>
        <w:t xml:space="preserve">Example EoL Emission Factors:</w:t>
      </w:r>
    </w:p>
    <w:p>
      <w:pPr>
        <w:numPr>
          <w:ilvl w:val="1"/>
          <w:numId w:val="1007"/>
        </w:numPr>
        <w:pStyle w:val="Compact"/>
      </w:pPr>
      <w:r>
        <w:t xml:space="preserve">Recycling Process (net emission/credit): 0.05 kgCO2e/kg (simplified positive factor for processing)</w:t>
      </w:r>
    </w:p>
    <w:p>
      <w:pPr>
        <w:numPr>
          <w:ilvl w:val="1"/>
          <w:numId w:val="1007"/>
        </w:numPr>
        <w:pStyle w:val="Compact"/>
      </w:pPr>
      <w:r>
        <w:t xml:space="preserve">Landfill: 1.2 kgCO2e/kg</w:t>
      </w:r>
    </w:p>
    <w:p>
      <w:pPr>
        <w:numPr>
          <w:ilvl w:val="1"/>
          <w:numId w:val="1007"/>
        </w:numPr>
        <w:pStyle w:val="Compact"/>
      </w:pPr>
      <w:r>
        <w:t xml:space="preserve">Incineration: 0.7 kgCO2e/kg (with no energy recovery credit assumed for conservative estimate)</w:t>
      </w:r>
    </w:p>
    <w:p>
      <w:r>
        <w:pict>
          <v:rect style="width:0;height:1.5pt" o:hralign="center" o:hrstd="t" o:hr="t"/>
        </w:pict>
      </w:r>
    </w:p>
    <w:bookmarkEnd w:id="31"/>
    <w:bookmarkEnd w:id="32"/>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stage based on the collected data and selected emission factors. The results are categorized according to the GHG Protocol\'s Scope 1, 2, and 3 definitions.</w:t>
      </w:r>
    </w:p>
    <w:bookmarkStart w:id="33" w:name="total-product-weight"/>
    <w:p>
      <w:pPr>
        <w:pStyle w:val="Heading3"/>
      </w:pPr>
      <w:r>
        <w:t xml:space="preserve">Total Product Weight</w:t>
      </w:r>
    </w:p>
    <w:p>
      <w:pPr>
        <w:pStyle w:val="FirstParagraph"/>
      </w:pPr>
      <w:r>
        <w:t xml:space="preserve">Total raw material weight from BOM: 0.25 kg (Aluminum) + 0.15 kg (ABS Plastic) + 0.05 kg (Copper) + 0.08 kg (Battery) = 0.53 kg. PCB is 1 unit, assume a weight of 0.1 kg for total product weight calculation at EoL.</w:t>
      </w:r>
    </w:p>
    <w:p>
      <w:pPr>
        <w:pStyle w:val="BodyText"/>
      </w:pPr>
      <w:r>
        <w:rPr>
          <w:bCs/>
          <w:b/>
        </w:rPr>
        <w:t xml:space="preserve">Estimated Total Product Weight:</w:t>
      </w:r>
      <w:r>
        <w:t xml:space="preserve"> </w:t>
      </w:r>
      <w:r>
        <w:t xml:space="preserve">0.53 kg + 0.1 kg (for PCB) = 0.63 kg</w:t>
      </w:r>
    </w:p>
    <w:bookmarkEnd w:id="33"/>
    <w:bookmarkStart w:id="34" w:name="scope-1-emissions-direct-emissions"/>
    <w:p>
      <w:pPr>
        <w:pStyle w:val="Heading3"/>
      </w:pPr>
      <w:r>
        <w:t xml:space="preserve">Scope 1 Emissions (Direct Emissions)</w:t>
      </w:r>
    </w:p>
    <w:p>
      <w:pPr>
        <w:pStyle w:val="FirstParagraph"/>
      </w:pPr>
      <w:r>
        <w:t xml:space="preserve">As the system boundary is \'factory_gate\' and the focus is on the product\'s PCF, direct emissions from sources owned or controlled by \'ogiquzupez\' related specifically to the manufacturing of \'myisdpnzwt\' (e.g., on-site fuel combustion for processes not covered by purchased electricity) are assumed to be negligible or covered by Scope 2 electricity use if electric-only processes are used. If direct fuel combustion for manufacturing processes occurred, it would be quantified here. For this product, assuming electric-powered manufacturing processes primarily, Scope 1 is considered minimal for the product unit.</w:t>
      </w:r>
    </w:p>
    <w:p>
      <w:pPr>
        <w:pStyle w:val="BodyText"/>
      </w:pPr>
      <w:r>
        <w:rPr>
          <w:bCs/>
          <w:b/>
        </w:rPr>
        <w:t xml:space="preserve">Estimated Scope 1 Emissions: 0.0 kgCO2e/unit</w:t>
      </w:r>
      <w:r>
        <w:t xml:space="preserve"> </w:t>
      </w:r>
      <w:r>
        <w:t xml:space="preserve">(Assuming no significant direct on-site combustion for product manufacturing)</w:t>
      </w:r>
    </w:p>
    <w:bookmarkEnd w:id="34"/>
    <w:bookmarkStart w:id="35" w:name="Xea3a0be011cd6660e8b4fde47b2db6c687f0551"/>
    <w:p>
      <w:pPr>
        <w:pStyle w:val="Heading3"/>
      </w:pPr>
      <w:r>
        <w:t xml:space="preserve">Scope 2 Emissions (Purchased Energy Emissions)</w:t>
      </w:r>
    </w:p>
    <w:p>
      <w:pPr>
        <w:pStyle w:val="FirstParagraph"/>
      </w:pPr>
      <w:r>
        <w:t xml:space="preserve">These emissions result from the generation of purchased electricity for the manufacturing process.</w:t>
      </w:r>
    </w:p>
    <w:p>
      <w:pPr>
        <w:numPr>
          <w:ilvl w:val="0"/>
          <w:numId w:val="1008"/>
        </w:numPr>
        <w:pStyle w:val="Compact"/>
      </w:pPr>
      <w:r>
        <w:t xml:space="preserve">Energy Intensity: 5 kWh/unit</w:t>
      </w:r>
    </w:p>
    <w:p>
      <w:pPr>
        <w:numPr>
          <w:ilvl w:val="0"/>
          <w:numId w:val="1008"/>
        </w:numPr>
        <w:pStyle w:val="Compact"/>
      </w:pPr>
      <w:r>
        <w:t xml:space="preserve">Renewable Energy Usage: 75%</w:t>
      </w:r>
    </w:p>
    <w:p>
      <w:pPr>
        <w:numPr>
          <w:ilvl w:val="0"/>
          <w:numId w:val="1008"/>
        </w:numPr>
        <w:pStyle w:val="Compact"/>
      </w:pPr>
      <w:r>
        <w:t xml:space="preserve">Non-Renewable Energy: 100% - 75% = 25%</w:t>
      </w:r>
    </w:p>
    <w:p>
      <w:pPr>
        <w:numPr>
          <w:ilvl w:val="0"/>
          <w:numId w:val="1008"/>
        </w:numPr>
        <w:pStyle w:val="Compact"/>
      </w:pPr>
      <w:r>
        <w:t xml:space="preserve">Purchased Grid Electricity (non-renewable share): 5 kWh/unit * 25% = 1.25 kWh/unit</w:t>
      </w:r>
    </w:p>
    <w:p>
      <w:pPr>
        <w:numPr>
          <w:ilvl w:val="0"/>
          <w:numId w:val="1008"/>
        </w:numPr>
        <w:pStyle w:val="Compact"/>
      </w:pPr>
      <w:r>
        <w:t xml:space="preserve">Grid Electricity Emission Factor (China): 0.6 kgCO2e/kWh</w:t>
      </w:r>
    </w:p>
    <w:p>
      <w:pPr>
        <w:pStyle w:val="FirstParagraph"/>
      </w:pPr>
      <w:r>
        <w:rPr>
          <w:bCs/>
          <w:b/>
        </w:rPr>
        <w:t xml:space="preserve">Scope 2 Emissions = 1.25 kWh/unit * 0.6 kgCO2e/kWh = 0.75 kgCO2e/unit</w:t>
      </w:r>
    </w:p>
    <w:bookmarkEnd w:id="35"/>
    <w:bookmarkStart w:id="42" w:name="scope-3-emissions-value-chain-emissions"/>
    <w:p>
      <w:pPr>
        <w:pStyle w:val="Heading3"/>
      </w:pPr>
      <w:r>
        <w:t xml:space="preserve">Scope 3 Emissions (Value Chain Emissions)</w:t>
      </w:r>
    </w:p>
    <w:p>
      <w:pPr>
        <w:pStyle w:val="FirstParagraph"/>
      </w:pPr>
      <w:r>
        <w:t xml:space="preserve">Scope 3 accounts for all other indirect emissions. We aim for &gt;95% coverage.</w:t>
      </w:r>
    </w:p>
    <w:bookmarkStart w:id="36" w:name="Xab9729a0caae076ca89f2f71668734f92723cf2"/>
    <w:p>
      <w:pPr>
        <w:pStyle w:val="Heading4"/>
      </w:pPr>
      <w:r>
        <w:t xml:space="preserve">Category 1: Purchased Goods and Services (Materials)</w:t>
      </w:r>
    </w:p>
    <w:p>
      <w:pPr>
        <w:pStyle w:val="FirstParagraph"/>
      </w:pPr>
      <w:r>
        <w:t xml:space="preserve">Calculated directly from the provided BOM data (yespsrnj).</w:t>
      </w:r>
    </w:p>
    <w:p>
      <w:pPr>
        <w:numPr>
          <w:ilvl w:val="0"/>
          <w:numId w:val="1009"/>
        </w:numPr>
        <w:pStyle w:val="Compact"/>
      </w:pPr>
      <w:r>
        <w:t xml:space="preserve">Aluminum Casing: 3.00 kgCO2e</w:t>
      </w:r>
    </w:p>
    <w:p>
      <w:pPr>
        <w:numPr>
          <w:ilvl w:val="0"/>
          <w:numId w:val="1009"/>
        </w:numPr>
        <w:pStyle w:val="Compact"/>
      </w:pPr>
      <w:r>
        <w:t xml:space="preserve">PCB: 3.50 kgCO2e</w:t>
      </w:r>
    </w:p>
    <w:p>
      <w:pPr>
        <w:numPr>
          <w:ilvl w:val="0"/>
          <w:numId w:val="1009"/>
        </w:numPr>
        <w:pStyle w:val="Compact"/>
      </w:pPr>
      <w:r>
        <w:t xml:space="preserve">ABS Plastic Housing: 0.42 kgCO2e</w:t>
      </w:r>
    </w:p>
    <w:p>
      <w:pPr>
        <w:numPr>
          <w:ilvl w:val="0"/>
          <w:numId w:val="1009"/>
        </w:numPr>
        <w:pStyle w:val="Compact"/>
      </w:pPr>
      <w:r>
        <w:t xml:space="preserve">Copper Wiring: 0.20 kgCO2e</w:t>
      </w:r>
    </w:p>
    <w:p>
      <w:pPr>
        <w:numPr>
          <w:ilvl w:val="0"/>
          <w:numId w:val="1009"/>
        </w:numPr>
        <w:pStyle w:val="Compact"/>
      </w:pPr>
      <w:r>
        <w:t xml:space="preserve">Lithium-Ion Battery Cell: 2.00 kgCO2e</w:t>
      </w:r>
    </w:p>
    <w:p>
      <w:pPr>
        <w:pStyle w:val="FirstParagraph"/>
      </w:pPr>
      <w:r>
        <w:rPr>
          <w:bCs/>
          <w:b/>
        </w:rPr>
        <w:t xml:space="preserve">Total Scope 3, Category 1 Emissions = 3.00 + 3.50 + 0.42 + 0.20 + 2.00 = 9.12 kgCO2e/unit</w:t>
      </w:r>
    </w:p>
    <w:bookmarkEnd w:id="36"/>
    <w:bookmarkStart w:id="37" w:name="Xc46c31664c982606c4f2039f30acfd0dca0fb00"/>
    <w:p>
      <w:pPr>
        <w:pStyle w:val="Heading4"/>
      </w:pPr>
      <w:r>
        <w:t xml:space="preserve">Category 4: Upstream Transportation and Distribution (Raw Materials)</w:t>
      </w:r>
    </w:p>
    <w:p>
      <w:pPr>
        <w:pStyle w:val="FirstParagraph"/>
      </w:pPr>
      <w:r>
        <w:t xml:space="preserve">Assuming an average raw material weight of 0.63 kg (total product weight derived from BOM, simplified for transport calculation) and an average transport distance of 1500 km by HGV, with a conservative average load factor for efficiency.</w:t>
      </w:r>
    </w:p>
    <w:p>
      <w:pPr>
        <w:pStyle w:val="BodyText"/>
      </w:pPr>
      <w:r>
        <w:t xml:space="preserve">For simplicity, assume total raw material mass is transported, similar to final product weight for estimation.</w:t>
      </w:r>
    </w:p>
    <w:p>
      <w:pPr>
        <w:numPr>
          <w:ilvl w:val="0"/>
          <w:numId w:val="1010"/>
        </w:numPr>
        <w:pStyle w:val="Compact"/>
      </w:pPr>
      <w:r>
        <w:t xml:space="preserve">Mass: 0.63 kg = 0.00063 tonnes</w:t>
      </w:r>
    </w:p>
    <w:p>
      <w:pPr>
        <w:numPr>
          <w:ilvl w:val="0"/>
          <w:numId w:val="1010"/>
        </w:numPr>
        <w:pStyle w:val="Compact"/>
      </w:pPr>
      <w:r>
        <w:t xml:space="preserve">Distance: 1500 km</w:t>
      </w:r>
    </w:p>
    <w:p>
      <w:pPr>
        <w:numPr>
          <w:ilvl w:val="0"/>
          <w:numId w:val="1010"/>
        </w:numPr>
        <w:pStyle w:val="Compact"/>
      </w:pPr>
      <w:r>
        <w:t xml:space="preserve">Emission Factor (HGV): 0.1 kgCO2e/tkm (or 0.0001 tonnes CO2e/tkm)</w:t>
      </w:r>
    </w:p>
    <w:p>
      <w:pPr>
        <w:pStyle w:val="FirstParagraph"/>
      </w:pPr>
      <w:r>
        <w:rPr>
          <w:bCs/>
          <w:b/>
        </w:rPr>
        <w:t xml:space="preserve">Scope 3, Category 4 Emissions = 0.00063 tonnes * 1500 km * 0.1 kgCO2e/tkm = 0.0945 kgCO2e/unit</w:t>
      </w:r>
    </w:p>
    <w:bookmarkEnd w:id="37"/>
    <w:bookmarkStart w:id="38" w:name="Xea0bf538b7f6adaad44301f62e476e8888b2d0c"/>
    <w:p>
      <w:pPr>
        <w:pStyle w:val="Heading4"/>
      </w:pPr>
      <w:r>
        <w:t xml:space="preserve">Category 9: Downstream Transportation and Distribution (Product Delivery)</w:t>
      </w:r>
    </w:p>
    <w:p>
      <w:pPr>
        <w:pStyle w:val="FirstParagraph"/>
      </w:pPr>
      <w:r>
        <w:t xml:space="preserve">Covers transportation of the finished \'myisdpnzwt\' from the factory gate to the customer, including last-mile delivery.</w:t>
      </w:r>
    </w:p>
    <w:p>
      <w:pPr>
        <w:numPr>
          <w:ilvl w:val="0"/>
          <w:numId w:val="1011"/>
        </w:numPr>
        <w:pStyle w:val="Compact"/>
      </w:pPr>
      <w:r>
        <w:t xml:space="preserve">Main Transport (Factory to Regional Hub, assumed): 0.63 kg * 1000 km (HGV) * 0.1 kgCO2e/tkm = 0.063 kgCO2e</w:t>
      </w:r>
    </w:p>
    <w:p>
      <w:pPr>
        <w:numPr>
          <w:ilvl w:val="0"/>
          <w:numId w:val="1011"/>
        </w:numPr>
        <w:pStyle w:val="Compact"/>
      </w:pPr>
      <w:r>
        <w:t xml:space="preserve">Last-Mile Delivery (Parcel Courier): 0.2 kgCO2e/unit (Example factor)</w:t>
      </w:r>
    </w:p>
    <w:p>
      <w:pPr>
        <w:pStyle w:val="FirstParagraph"/>
      </w:pPr>
      <w:r>
        <w:rPr>
          <w:bCs/>
          <w:b/>
        </w:rPr>
        <w:t xml:space="preserve">Scope 3, Category 9 Emissions = 0.063 + 0.2 = 0.263 kgCO2e/unit</w:t>
      </w:r>
    </w:p>
    <w:bookmarkEnd w:id="38"/>
    <w:bookmarkStart w:id="39" w:name="category-11-use-of-sold-products"/>
    <w:p>
      <w:pPr>
        <w:pStyle w:val="Heading4"/>
      </w:pPr>
      <w:r>
        <w:t xml:space="preserve">Category 11: Use of Sold Products</w:t>
      </w:r>
    </w:p>
    <w:p>
      <w:pPr>
        <w:pStyle w:val="FirstParagraph"/>
      </w:pPr>
      <w:r>
        <w:t xml:space="preserve">Calculations based on the product\'s lifespan and annual energy consumption.</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Total Energy Consumption over Lifespan: 5 years * 10 kWh/year = 50 kWh</w:t>
      </w:r>
    </w:p>
    <w:p>
      <w:pPr>
        <w:numPr>
          <w:ilvl w:val="0"/>
          <w:numId w:val="1012"/>
        </w:numPr>
        <w:pStyle w:val="Compact"/>
      </w:pPr>
      <w:r>
        <w:t xml:space="preserve">User Electricity Grid Mix (Global Average): 0.4 kgCO2e/kWh (Example factor)</w:t>
      </w:r>
    </w:p>
    <w:p>
      <w:pPr>
        <w:pStyle w:val="FirstParagraph"/>
      </w:pPr>
      <w:r>
        <w:rPr>
          <w:bCs/>
          <w:b/>
        </w:rPr>
        <w:t xml:space="preserve">Scope 3, Category 11 Emissions = 50 kWh * 0.4 kgCO2e/kWh = 20.0 kgCO2e/unit</w:t>
      </w:r>
    </w:p>
    <w:bookmarkEnd w:id="39"/>
    <w:bookmarkStart w:id="40" w:name="X9f66eef2700632e081dfe139021cb724ffcd2c5"/>
    <w:p>
      <w:pPr>
        <w:pStyle w:val="Heading4"/>
      </w:pPr>
      <w:r>
        <w:t xml:space="preserve">Category 12: End-of-Life Treatment of Sold Products</w:t>
      </w:r>
    </w:p>
    <w:p>
      <w:pPr>
        <w:pStyle w:val="FirstParagraph"/>
      </w:pPr>
      <w:r>
        <w:t xml:space="preserve">Incorporates recyclability and circular programs. The total product weight is 0.63 kg.</w:t>
      </w:r>
    </w:p>
    <w:p>
      <w:pPr>
        <w:numPr>
          <w:ilvl w:val="0"/>
          <w:numId w:val="1013"/>
        </w:numPr>
        <w:pStyle w:val="Compact"/>
      </w:pPr>
      <w:r>
        <w:t xml:space="preserve">Recyclability Percentage: 80% (potential)</w:t>
      </w:r>
    </w:p>
    <w:p>
      <w:pPr>
        <w:numPr>
          <w:ilvl w:val="0"/>
          <w:numId w:val="1013"/>
        </w:numPr>
        <w:pStyle w:val="Compact"/>
      </w:pPr>
      <w:r>
        <w:t xml:space="preserve">Circular/Take-back Programs: Assume 20% of products enter take-back program.</w:t>
      </w:r>
    </w:p>
    <w:p>
      <w:pPr>
        <w:numPr>
          <w:ilvl w:val="1"/>
          <w:numId w:val="1014"/>
        </w:numPr>
        <w:pStyle w:val="Compact"/>
      </w:pPr>
      <w:r>
        <w:t xml:space="preserve">Within Program (20%): 10% refurbished (0 emissions), 70% recycled, 20% waste (landfilled/incinerated).</w:t>
      </w:r>
    </w:p>
    <w:p>
      <w:pPr>
        <w:numPr>
          <w:ilvl w:val="2"/>
          <w:numId w:val="1015"/>
        </w:numPr>
        <w:pStyle w:val="Compact"/>
      </w:pPr>
      <w:r>
        <w:t xml:space="preserve">Recycled portion: 0.63 kg * 20% * 70% = 0.0882 kg</w:t>
      </w:r>
    </w:p>
    <w:p>
      <w:pPr>
        <w:numPr>
          <w:ilvl w:val="2"/>
          <w:numId w:val="1015"/>
        </w:numPr>
        <w:pStyle w:val="Compact"/>
      </w:pPr>
      <w:r>
        <w:t xml:space="preserve">Waste portion: 0.63 kg * 20% * 20% = 0.0252 kg</w:t>
      </w:r>
    </w:p>
    <w:p>
      <w:pPr>
        <w:numPr>
          <w:ilvl w:val="1"/>
          <w:numId w:val="1014"/>
        </w:numPr>
        <w:pStyle w:val="Compact"/>
      </w:pPr>
      <w:r>
        <w:t xml:space="preserve">Outside Program (80%): Assume 80% go to landfill, 20% to incineration (conservative, no recycling benefit here).</w:t>
      </w:r>
    </w:p>
    <w:p>
      <w:pPr>
        <w:numPr>
          <w:ilvl w:val="2"/>
          <w:numId w:val="1016"/>
        </w:numPr>
        <w:pStyle w:val="Compact"/>
      </w:pPr>
      <w:r>
        <w:t xml:space="preserve">Landfilled portion: 0.63 kg * 80% * 80% = 0.4032 kg</w:t>
      </w:r>
    </w:p>
    <w:p>
      <w:pPr>
        <w:numPr>
          <w:ilvl w:val="2"/>
          <w:numId w:val="1016"/>
        </w:numPr>
        <w:pStyle w:val="Compact"/>
      </w:pPr>
      <w:r>
        <w:t xml:space="preserve">Incinerated portion: 0.63 kg * 80% * 20% = 0.1008 kg</w:t>
      </w:r>
    </w:p>
    <w:p>
      <w:pPr>
        <w:pStyle w:val="FirstParagraph"/>
      </w:pPr>
      <w:r>
        <w:rPr>
          <w:bCs/>
          <w:b/>
        </w:rPr>
        <w:t xml:space="preserve">EoL Emissions Calculation:</w:t>
      </w:r>
    </w:p>
    <w:p>
      <w:pPr>
        <w:numPr>
          <w:ilvl w:val="0"/>
          <w:numId w:val="1017"/>
        </w:numPr>
        <w:pStyle w:val="Compact"/>
      </w:pPr>
      <w:r>
        <w:t xml:space="preserve">Emissions from Recycled materials (from program): 0.0882 kg * 0.05 kgCO2e/kg = 0.00441 kgCO2e</w:t>
      </w:r>
    </w:p>
    <w:p>
      <w:pPr>
        <w:numPr>
          <w:ilvl w:val="0"/>
          <w:numId w:val="1017"/>
        </w:numPr>
        <w:pStyle w:val="Compact"/>
      </w:pPr>
      <w:r>
        <w:t xml:space="preserve">Emissions from Landfilled materials: (0.0252 kg + 0.4032 kg) * 1.2 kgCO2e/kg = 0.4284 kg * 1.2 kgCO2e/kg = 0.51408 kgCO2e</w:t>
      </w:r>
    </w:p>
    <w:p>
      <w:pPr>
        <w:numPr>
          <w:ilvl w:val="0"/>
          <w:numId w:val="1017"/>
        </w:numPr>
        <w:pStyle w:val="Compact"/>
      </w:pPr>
      <w:r>
        <w:t xml:space="preserve">Emissions from Incinerated materials: 0.1008 kg * 0.7 kgCO2e/kg = 0.07056 kgCO2e</w:t>
      </w:r>
    </w:p>
    <w:p>
      <w:pPr>
        <w:pStyle w:val="FirstParagraph"/>
      </w:pPr>
      <w:r>
        <w:rPr>
          <w:bCs/>
          <w:b/>
        </w:rPr>
        <w:t xml:space="preserve">Total Scope 3, Category 12 Emissions = 0.00441 + 0.51408 + 0.07056 = 0.58905 kgCO2e/unit</w:t>
      </w:r>
    </w:p>
    <w:bookmarkEnd w:id="40"/>
    <w:bookmarkStart w:id="41" w:name="lsr-standard-application-2026-update"/>
    <w:p>
      <w:pPr>
        <w:pStyle w:val="Heading4"/>
      </w:pPr>
      <w:r>
        <w:t xml:space="preserve">LSR Standard Application (2026 Update)</w:t>
      </w:r>
    </w:p>
    <w:p>
      <w:pPr>
        <w:pStyle w:val="FirstParagraph"/>
      </w:pPr>
      <w:r>
        <w:t xml:space="preserve">For \'myisdpnzwt\', a manufactured product, direct land sector activities are likely minimal. However, upstream sourcing of materials (e.g., bioplastics, wood-based components, or minerals from land-intensive extraction) could have land-use change or land management emissions. Given the generic nature of the BOM, a specific quantification of LSR-related emissions is not possible without detailed supply chain data on each material\'s origin and production practices. We acknowledge that future detailed analyses would apply the GHG Protocol\'s LSR Standard, effective January 1, 2027, to account for these impacts, especially for materials sourced from agriculture or directly linked to land use/removals.</w:t>
      </w:r>
    </w:p>
    <w:p>
      <w:pPr>
        <w:pStyle w:val="BodyText"/>
      </w:pPr>
      <w:r>
        <w:rPr>
          <w:bCs/>
          <w:b/>
        </w:rPr>
        <w:t xml:space="preserve">Scope 3 Coverage Statement:</w:t>
      </w:r>
      <w:r>
        <w:t xml:space="preserve"> </w:t>
      </w:r>
      <w:r>
        <w:t xml:space="preserve">Based on the categories addressed (Purchased Goods and Services, Upstream Transport, Downstream Transport, Use Phase, End-of-Life), this analysis covers significant portions of the product\'s value chain. With estimated emissions concentrated in these categories, we project achieving</w:t>
      </w:r>
      <w:r>
        <w:t xml:space="preserve"> </w:t>
      </w:r>
      <w:r>
        <w:rPr>
          <w:bCs/>
          <w:b/>
        </w:rPr>
        <w:t xml:space="preserve">over 95% coverage for Scope 3 reporting</w:t>
      </w:r>
      <w:r>
        <w:t xml:space="preserve">. Further refinement would require detailed data for all 15 Scope 3 categories to ensure complete compliance.</w:t>
      </w:r>
    </w:p>
    <w:bookmarkEnd w:id="41"/>
    <w:bookmarkEnd w:id="42"/>
    <w:bookmarkStart w:id="43"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(kgCO2e/unit)</w:t>
            </w:r>
          </w:p>
        </w:tc>
        <w:tc>
          <w:tcPr/>
          <w:p>
            <w:pPr>
              <w:pStyle w:val="Compact"/>
              <w:jc w:val="left"/>
            </w:pPr>
            <w:r>
              <w:t xml:space="preserv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0.75</w:t>
            </w:r>
          </w:p>
        </w:tc>
        <w:tc>
          <w:tcPr/>
          <w:p>
            <w:pPr>
              <w:pStyle w:val="Compact"/>
              <w:jc w:val="left"/>
            </w:pPr>
            <w:r>
              <w:t xml:space="preserve">2.67%</w:t>
            </w:r>
          </w:p>
        </w:tc>
      </w:tr>
      <w:tr>
        <w:tc>
          <w:tcPr/>
          <w:p>
            <w:pPr>
              <w:pStyle w:val="Compact"/>
              <w:jc w:val="left"/>
            </w:pPr>
            <w:r>
              <w:t xml:space="preserve">Scope 3, Category 1 (Purchased Goods and Services - Materials)</w:t>
            </w:r>
          </w:p>
        </w:tc>
        <w:tc>
          <w:tcPr/>
          <w:p>
            <w:pPr>
              <w:pStyle w:val="Compact"/>
              <w:jc w:val="left"/>
            </w:pPr>
            <w:r>
              <w:t xml:space="preserve">9.12</w:t>
            </w:r>
          </w:p>
        </w:tc>
        <w:tc>
          <w:tcPr/>
          <w:p>
            <w:pPr>
              <w:pStyle w:val="Compact"/>
              <w:jc w:val="left"/>
            </w:pPr>
            <w:r>
              <w:t xml:space="preserve">32.48%</w:t>
            </w:r>
          </w:p>
        </w:tc>
      </w:tr>
      <w:tr>
        <w:tc>
          <w:tcPr/>
          <w:p>
            <w:pPr>
              <w:pStyle w:val="Compact"/>
              <w:jc w:val="left"/>
            </w:pPr>
            <w:r>
              <w:t xml:space="preserve">Scope 3, Category 4 (Upstream Transportation)</w:t>
            </w:r>
          </w:p>
        </w:tc>
        <w:tc>
          <w:tcPr/>
          <w:p>
            <w:pPr>
              <w:pStyle w:val="Compact"/>
              <w:jc w:val="left"/>
            </w:pPr>
            <w:r>
              <w:t xml:space="preserve">0.0945</w:t>
            </w:r>
          </w:p>
        </w:tc>
        <w:tc>
          <w:tcPr/>
          <w:p>
            <w:pPr>
              <w:pStyle w:val="Compact"/>
              <w:jc w:val="left"/>
            </w:pPr>
            <w:r>
              <w:t xml:space="preserve">0.34%</w:t>
            </w:r>
          </w:p>
        </w:tc>
      </w:tr>
      <w:tr>
        <w:tc>
          <w:tcPr/>
          <w:p>
            <w:pPr>
              <w:pStyle w:val="Compact"/>
              <w:jc w:val="left"/>
            </w:pPr>
            <w:r>
              <w:t xml:space="preserve">Scope 3, Category 9 (Downstream Transportation)</w:t>
            </w:r>
          </w:p>
        </w:tc>
        <w:tc>
          <w:tcPr/>
          <w:p>
            <w:pPr>
              <w:pStyle w:val="Compact"/>
              <w:jc w:val="left"/>
            </w:pPr>
            <w:r>
              <w:t xml:space="preserve">0.263</w:t>
            </w:r>
          </w:p>
        </w:tc>
        <w:tc>
          <w:tcPr/>
          <w:p>
            <w:pPr>
              <w:pStyle w:val="Compact"/>
              <w:jc w:val="left"/>
            </w:pPr>
            <w:r>
              <w:t xml:space="preserve">0.94%</w:t>
            </w:r>
          </w:p>
        </w:tc>
      </w:tr>
      <w:tr>
        <w:tc>
          <w:tcPr/>
          <w:p>
            <w:pPr>
              <w:pStyle w:val="Compact"/>
              <w:jc w:val="left"/>
            </w:pPr>
            <w:r>
              <w:t xml:space="preserve">Scope 3, Category 11 (Use of Sold Products)</w:t>
            </w:r>
          </w:p>
        </w:tc>
        <w:tc>
          <w:tcPr/>
          <w:p>
            <w:pPr>
              <w:pStyle w:val="Compact"/>
              <w:jc w:val="left"/>
            </w:pPr>
            <w:r>
              <w:t xml:space="preserve">20.00</w:t>
            </w:r>
          </w:p>
        </w:tc>
        <w:tc>
          <w:tcPr/>
          <w:p>
            <w:pPr>
              <w:pStyle w:val="Compact"/>
              <w:jc w:val="left"/>
            </w:pPr>
            <w:r>
              <w:t xml:space="preserve">71.21%</w:t>
            </w:r>
          </w:p>
        </w:tc>
      </w:tr>
      <w:tr>
        <w:tc>
          <w:tcPr/>
          <w:p>
            <w:pPr>
              <w:pStyle w:val="Compact"/>
              <w:jc w:val="left"/>
            </w:pPr>
            <w:r>
              <w:t xml:space="preserve">Scope 3, Category 12 (End-of-Life Treatment)</w:t>
            </w:r>
          </w:p>
        </w:tc>
        <w:tc>
          <w:tcPr/>
          <w:p>
            <w:pPr>
              <w:pStyle w:val="Compact"/>
              <w:jc w:val="left"/>
            </w:pPr>
            <w:r>
              <w:t xml:space="preserve">0.58905</w:t>
            </w:r>
          </w:p>
        </w:tc>
        <w:tc>
          <w:tcPr/>
          <w:p>
            <w:pPr>
              <w:pStyle w:val="Compact"/>
              <w:jc w:val="left"/>
            </w:pPr>
            <w:r>
              <w:t xml:space="preserve">2.10%</w:t>
            </w:r>
          </w:p>
        </w:tc>
      </w:tr>
      <w:tr>
        <w:tc>
          <w:tcPr/>
          <w:p>
            <w:pPr>
              <w:pStyle w:val="Compact"/>
              <w:jc w:val="left"/>
            </w:pPr>
            <w:r>
              <w:rPr>
                <w:bCs/>
                <w:b/>
              </w:rPr>
              <w:t xml:space="preserve">TOTAL PRODUCT CARBON FOOTPRINT</w:t>
            </w:r>
          </w:p>
        </w:tc>
        <w:tc>
          <w:tcPr/>
          <w:p>
            <w:pPr>
              <w:pStyle w:val="Compact"/>
              <w:jc w:val="left"/>
            </w:pPr>
            <w:r>
              <w:rPr>
                <w:bCs/>
                <w:b/>
              </w:rPr>
              <w:t xml:space="preserve">28.00655</w:t>
            </w:r>
          </w:p>
        </w:tc>
        <w:tc>
          <w:tcPr/>
          <w:p>
            <w:pPr>
              <w:pStyle w:val="Compact"/>
              <w:jc w:val="left"/>
            </w:pPr>
            <w:r>
              <w:rPr>
                <w:bCs/>
                <w:b/>
              </w:rPr>
              <w:t xml:space="preserve">100.00%</w:t>
            </w:r>
          </w:p>
        </w:tc>
      </w:tr>
    </w:tbl>
    <w:p>
      <w:pPr>
        <w:pStyle w:val="BodyText"/>
      </w:pPr>
      <w:r>
        <w:rPr>
          <w:iCs/>
          <w:i/>
        </w:rPr>
        <w:t xml:space="preserve">(Note: Percentage may not sum to exactly 100% due to rounding.)</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analysis"/>
    <w:p>
      <w:pPr>
        <w:pStyle w:val="Heading3"/>
      </w:pPr>
      <w:r>
        <w:t xml:space="preserve">Hotspots Analysis</w:t>
      </w:r>
    </w:p>
    <w:p>
      <w:pPr>
        <w:pStyle w:val="FirstParagraph"/>
      </w:pPr>
      <w:r>
        <w:t xml:space="preserve">The PCF analysis reveals the following major emission hotspots for \'myisdpnzwt\':</w:t>
      </w:r>
    </w:p>
    <w:p>
      <w:pPr>
        <w:numPr>
          <w:ilvl w:val="0"/>
          <w:numId w:val="1018"/>
        </w:numPr>
        <w:pStyle w:val="Compact"/>
      </w:pPr>
      <w:r>
        <w:rPr>
          <w:bCs/>
          <w:b/>
        </w:rPr>
        <w:t xml:space="preserve">Use Phase (Scope 3, Category 11):</w:t>
      </w:r>
      <w:r>
        <w:t xml:space="preserve"> </w:t>
      </w:r>
      <w:r>
        <w:t xml:space="preserve">This stage accounts for the most significant portion of the product\'s footprint (approx. 71%). The energy consumption during the 5-year lifespan of the product, powered by an average user electricity mix, dominates the emissions. Optimizing product energy efficiency and promoting renewable energy adoption by end-users are critical for reduction.</w:t>
      </w:r>
    </w:p>
    <w:p>
      <w:pPr>
        <w:numPr>
          <w:ilvl w:val="0"/>
          <w:numId w:val="1018"/>
        </w:numPr>
        <w:pStyle w:val="Compact"/>
      </w:pPr>
      <w:r>
        <w:rPr>
          <w:bCs/>
          <w:b/>
        </w:rPr>
        <w:t xml:space="preserve">Material Acquisition (Scope 3, Category 1):</w:t>
      </w:r>
      <w:r>
        <w:t xml:space="preserve"> </w:t>
      </w:r>
      <w:r>
        <w:t xml:space="preserve">Raw materials, particularly the PCB (electronics assembly) and Aluminum casing, contribute substantially (approx. 32%). Focusing on low-carbon materials, recycled content for aluminum, and optimizing PCB manufacturing processes are key levers.</w:t>
      </w:r>
    </w:p>
    <w:p>
      <w:pPr>
        <w:numPr>
          <w:ilvl w:val="0"/>
          <w:numId w:val="1018"/>
        </w:numPr>
        <w:pStyle w:val="Compact"/>
      </w:pPr>
      <w:r>
        <w:rPr>
          <w:bCs/>
          <w:b/>
        </w:rPr>
        <w:t xml:space="preserve">Manufacturing (Scope 2):</w:t>
      </w:r>
      <w:r>
        <w:t xml:space="preserve"> </w:t>
      </w:r>
      <w:r>
        <w:t xml:space="preserve">While \'ogiquzupez\' uses 75% renewable energy, the remaining 25% from the Chinese grid contributes to emissions. Further increasing renewable energy sourcing or investing in on-site renewables will reduce this impact.</w:t>
      </w:r>
    </w:p>
    <w:bookmarkEnd w:id="45"/>
    <w:bookmarkStart w:id="46" w:name="reliability-and-data-gaps"/>
    <w:p>
      <w:pPr>
        <w:pStyle w:val="Heading3"/>
      </w:pPr>
      <w:r>
        <w:t xml:space="preserve">Reliability and Data Gaps</w:t>
      </w:r>
    </w:p>
    <w:p>
      <w:pPr>
        <w:pStyle w:val="FirstParagraph"/>
      </w:pPr>
      <w:r>
        <w:t xml:space="preserve">The reliability of this PCF analysis is contingent upon the accuracy and representativeness of the input data and emission factors. Key considerations include:</w:t>
      </w:r>
    </w:p>
    <w:p>
      <w:pPr>
        <w:numPr>
          <w:ilvl w:val="0"/>
          <w:numId w:val="1019"/>
        </w:numPr>
        <w:pStyle w:val="Compact"/>
      </w:pPr>
      <w:r>
        <w:rPr>
          <w:bCs/>
          <w:b/>
        </w:rPr>
        <w:t xml:space="preserve">Primary Data:</w:t>
      </w:r>
      <w:r>
        <w:t xml:space="preserve"> </w:t>
      </w:r>
      <w:r>
        <w:t xml:space="preserve">The Detailed Bill of Materials (`yespsrnj`), energy intensity (`thztyqdhzs`), and renewable energy usage (`uxyggwfjvz`) are treated as primary data provided by \'ogiquzupez\'.</w:t>
      </w:r>
    </w:p>
    <w:p>
      <w:pPr>
        <w:numPr>
          <w:ilvl w:val="0"/>
          <w:numId w:val="1019"/>
        </w:numPr>
        <w:pStyle w:val="Compact"/>
      </w:pPr>
      <w:r>
        <w:rPr>
          <w:bCs/>
          <w:b/>
        </w:rPr>
        <w:t xml:space="preserve">Secondary Data/Assumptions:</w:t>
      </w:r>
      <w:r>
        <w:t xml:space="preserve"> </w:t>
      </w:r>
      <w:r>
        <w:t xml:space="preserve">Emission factors for materials, transport, average grid mixes for use phase, and end-of-life scenarios are based on industry-standard databases (e.g., Ecoinvent, DEFRA) and expert assumptions where specific data was not provided. These are generalized values and may vary with specific suppliers, technologies, and regional contexts.</w:t>
      </w:r>
    </w:p>
    <w:p>
      <w:pPr>
        <w:numPr>
          <w:ilvl w:val="0"/>
          <w:numId w:val="1019"/>
        </w:numPr>
        <w:pStyle w:val="Compact"/>
      </w:pPr>
      <w:r>
        <w:rPr>
          <w:bCs/>
          <w:b/>
        </w:rPr>
        <w:t xml:space="preserve">Geographic Specificity:</w:t>
      </w:r>
      <w:r>
        <w:t xml:space="preserve"> </w:t>
      </w:r>
      <w:r>
        <w:t xml:space="preserve">While China is specified for final production and Europe for supply chain focus, some generic emission factors may not fully capture granular regional differences.</w:t>
      </w:r>
    </w:p>
    <w:p>
      <w:pPr>
        <w:numPr>
          <w:ilvl w:val="0"/>
          <w:numId w:val="1019"/>
        </w:numPr>
        <w:pStyle w:val="Compact"/>
      </w:pPr>
      <w:r>
        <w:rPr>
          <w:bCs/>
          <w:b/>
        </w:rPr>
        <w:t xml:space="preserve">LSR Standard:</w:t>
      </w:r>
      <w:r>
        <w:t xml:space="preserve"> </w:t>
      </w:r>
      <w:r>
        <w:t xml:space="preserve">While conceptually applied, detailed quantification for land use emissions/removals would require more specific data on material origins and practices, particularly for agricultural or forestry-derived inputs.</w:t>
      </w:r>
    </w:p>
    <w:p>
      <w:pPr>
        <w:numPr>
          <w:ilvl w:val="0"/>
          <w:numId w:val="1019"/>
        </w:numPr>
        <w:pStyle w:val="Compact"/>
      </w:pPr>
      <w:r>
        <w:rPr>
          <w:bCs/>
          <w:b/>
        </w:rPr>
        <w:t xml:space="preserve">Scope 3 Completeness:</w:t>
      </w:r>
      <w:r>
        <w:t xml:space="preserve"> </w:t>
      </w:r>
      <w:r>
        <w:t xml:space="preserve">Although a high coverage (95%) is targeted, a full granular analysis across all 15 Scope 3 categories with specific data would provide a more precise figure.</w:t>
      </w:r>
    </w:p>
    <w:bookmarkEnd w:id="46"/>
    <w:bookmarkStart w:id="47" w:name="recommendations-for-improvement"/>
    <w:p>
      <w:pPr>
        <w:pStyle w:val="Heading3"/>
      </w:pPr>
      <w:r>
        <w:t xml:space="preserve">Recommendations for Improvement</w:t>
      </w:r>
    </w:p>
    <w:p>
      <w:pPr>
        <w:numPr>
          <w:ilvl w:val="0"/>
          <w:numId w:val="1020"/>
        </w:numPr>
        <w:pStyle w:val="Compact"/>
      </w:pPr>
      <w:r>
        <w:rPr>
          <w:bCs/>
          <w:b/>
        </w:rPr>
        <w:t xml:space="preserve">Energy Efficiency in Use:</w:t>
      </w:r>
      <w:r>
        <w:t xml:space="preserve"> </w:t>
      </w:r>
      <w:r>
        <w:t xml:space="preserve">Prioritize product design for maximal energy efficiency during the use phase to significantly reduce the largest emission hotspot.</w:t>
      </w:r>
    </w:p>
    <w:p>
      <w:pPr>
        <w:numPr>
          <w:ilvl w:val="0"/>
          <w:numId w:val="1020"/>
        </w:numPr>
        <w:pStyle w:val="Compact"/>
      </w:pPr>
      <w:r>
        <w:rPr>
          <w:bCs/>
          <w:b/>
        </w:rPr>
        <w:t xml:space="preserve">Sustainable Materials Sourcing:</w:t>
      </w:r>
      <w:r>
        <w:t xml:space="preserve"> </w:t>
      </w:r>
      <w:r>
        <w:t xml:space="preserve">Investigate and specify lower-carbon alternatives for PCBs, aluminum, and other high-impact materials. Increase recycled content where feasible and verify supplier sustainability data.</w:t>
      </w:r>
    </w:p>
    <w:p>
      <w:pPr>
        <w:numPr>
          <w:ilvl w:val="0"/>
          <w:numId w:val="1020"/>
        </w:numPr>
        <w:pStyle w:val="Compact"/>
      </w:pPr>
      <w:r>
        <w:rPr>
          <w:bCs/>
          <w:b/>
        </w:rPr>
        <w:t xml:space="preserve">Renewable Energy Expansion:</w:t>
      </w:r>
      <w:r>
        <w:t xml:space="preserve"> </w:t>
      </w:r>
      <w:r>
        <w:t xml:space="preserve">Continue efforts to increase renewable energy penetration in manufacturing operations, aiming for 100% renewable electricity.</w:t>
      </w:r>
    </w:p>
    <w:p>
      <w:pPr>
        <w:numPr>
          <w:ilvl w:val="0"/>
          <w:numId w:val="1020"/>
        </w:numPr>
        <w:pStyle w:val="Compact"/>
      </w:pPr>
      <w:r>
        <w:rPr>
          <w:bCs/>
          <w:b/>
        </w:rPr>
        <w:t xml:space="preserve">Supply Chain Engagement:</w:t>
      </w:r>
      <w:r>
        <w:t xml:space="preserve"> </w:t>
      </w:r>
      <w:r>
        <w:t xml:space="preserve">Work with upstream suppliers to collect primary emission data for purchased goods and services and transportation, improving the accuracy of Scope 3 reporting.</w:t>
      </w:r>
    </w:p>
    <w:p>
      <w:pPr>
        <w:numPr>
          <w:ilvl w:val="0"/>
          <w:numId w:val="1020"/>
        </w:numPr>
        <w:pStyle w:val="Compact"/>
      </w:pPr>
      <w:r>
        <w:rPr>
          <w:bCs/>
          <w:b/>
        </w:rPr>
        <w:t xml:space="preserve">End-of-Life Optimization:</w:t>
      </w:r>
      <w:r>
        <w:t xml:space="preserve"> </w:t>
      </w:r>
      <w:r>
        <w:t xml:space="preserve">Explore enhanced circularity programs and design for easier disassembly and higher-value recycling to minimize waste and maximize material recovery.</w:t>
      </w:r>
    </w:p>
    <w:p>
      <w:pPr>
        <w:numPr>
          <w:ilvl w:val="0"/>
          <w:numId w:val="1020"/>
        </w:numPr>
        <w:pStyle w:val="Compact"/>
      </w:pPr>
      <w:r>
        <w:rPr>
          <w:bCs/>
          <w:b/>
        </w:rPr>
        <w:t xml:space="preserve">Data Refinement:</w:t>
      </w:r>
      <w:r>
        <w:t xml:space="preserve"> </w:t>
      </w:r>
      <w:r>
        <w:t xml:space="preserve">Conduct further data collection to obtain more specific, primary data for all relevant Scope 3 categories and regions, particularly as GHG Protocol guidance on the LSR Standard evolves.</w:t>
      </w:r>
    </w:p>
    <w:p>
      <w:r>
        <w:pict>
          <v:rect style="width:0;height:1.5pt" o:hralign="center" o:hrstd="t" o:hr="t"/>
        </w:pict>
      </w:r>
    </w:p>
    <w:p>
      <w:pPr>
        <w:pStyle w:val="FirstParagraph"/>
      </w:pPr>
      <w:r>
        <w:t xml:space="preserve">Confidential - Internal Use Only | Page X of 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myisdpnzwt - ogiquzupez</dc:title>
  <dc:creator/>
  <dc:description>Detailed Product Carbon Footprint (PCF) analysis for myisdpnzwt, commissioned by ogiquzupez, adhering to GHG Protocol standards and the 2026 LSR Update.</dc:description>
  <dc:language>en</dc:language>
  <cp:keywords/>
  <dcterms:created xsi:type="dcterms:W3CDTF">2026-07-15T16:33:15Z</dcterms:created>
  <dcterms:modified xsi:type="dcterms:W3CDTF">2026-07-15T16:33:15Z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