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myesygudgq</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myesygudgq"/>
    <w:p>
      <w:pPr>
        <w:pStyle w:val="Heading2"/>
      </w:pPr>
      <w:r>
        <w:t xml:space="preserve">for myesygudgq</w:t>
      </w:r>
    </w:p>
    <w:p>
      <w:pPr>
        <w:pStyle w:val="FirstParagraph"/>
      </w:pPr>
      <w:r>
        <w:rPr>
          <w:bCs/>
          <w:b/>
        </w:rPr>
        <w:t xml:space="preserve">Company Name:</w:t>
      </w:r>
      <w:r>
        <w:t xml:space="preserve"> </w:t>
      </w:r>
      <w:r>
        <w:t xml:space="preserve">sordiwhxil</w:t>
      </w:r>
    </w:p>
    <w:p>
      <w:pPr>
        <w:pStyle w:val="BodyText"/>
      </w:pPr>
      <w:r>
        <w:rPr>
          <w:bCs/>
          <w:b/>
        </w:rPr>
        <w:t xml:space="preserve">Senior Sustainability Consultant:</w:t>
      </w:r>
      <w:r>
        <w:t xml:space="preserve"> </w:t>
      </w:r>
      <w:r>
        <w:t xml:space="preserve">omxhjvefge</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including specific parameters provided by the user. While every effort has been made to ensure accuracy and adherence to methodological requirements, certain data points were assumed or simulated where specific values were indicated as placeholders, as detailed within the report.</w:t>
      </w:r>
    </w:p>
    <w:bookmarkEnd w:id="20"/>
    <w:bookmarkEnd w:id="21"/>
    <w:bookmarkStart w:id="22" w:name="X3935571d576574367db6fe459a623fa9aeca565"/>
    <w:p>
      <w:pPr>
        <w:pStyle w:val="Heading1"/>
      </w:pPr>
      <w:r>
        <w:t xml:space="preserve">Product Carbon Footprint Analysis for myesygudgq</w:t>
      </w:r>
    </w:p>
    <w:p>
      <w:pPr>
        <w:pStyle w:val="FirstParagraph"/>
      </w:pPr>
      <w:r>
        <w:t xml:space="preserve">Generated Date: May 20,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 `myesygudgq`, manufactured by `sordiwhxil`. The analysis was conducted by Senior Sustainability Consultant `omxhjvefge`, adhering strictly to the GHG Protocol accounting standard, including the 2026 Land Sector and Removals (LSR) Standard update and ensuring at least 95% coverage for Scope 3 emissions. The goal is to quantify the greenhouse gas (GHG) emissions associated with `myesygudgq` across its lifecycle, identify key emission hotspots, and provide actionable insights for emission reduction. Due to the placeholder nature of some input parameters, specific assumptions have been made for the purpose of this analysis, which are clearly outlined in the relevant sections.</w:t>
      </w:r>
    </w:p>
    <w:p>
      <w:r>
        <w:pict>
          <v:rect style="width:0;height:1.5pt" o:hralign="center" o:hrstd="t" o:hr="t"/>
        </w:pict>
      </w:r>
    </w:p>
    <w:bookmarkEnd w:id="23"/>
    <w:bookmarkStart w:id="31" w:name="methodology"/>
    <w:p>
      <w:pPr>
        <w:pStyle w:val="Heading2"/>
      </w:pPr>
      <w:r>
        <w:t xml:space="preserve">1. Methodology</w:t>
      </w:r>
    </w:p>
    <w:p>
      <w:pPr>
        <w:pStyle w:val="FirstParagraph"/>
      </w:pPr>
      <w:r>
        <w:t xml:space="preserve">The Product Carbon Footprint (PCF) analysis for `myesygudgq` follows a comprehensive lifecycle assessment approach based on the GHG Protocol Product Standard. The methodology encompasses five key steps:</w:t>
      </w:r>
    </w:p>
    <w:p>
      <w:pPr>
        <w:numPr>
          <w:ilvl w:val="0"/>
          <w:numId w:val="1001"/>
        </w:numPr>
        <w:pStyle w:val="Heading3"/>
      </w:pPr>
      <w:bookmarkStart w:id="24" w:name="X503a688f1fb1b05a98d3b244f22cac603c2c2aa"/>
      <w:r>
        <w:t xml:space="preserve">Define Scope (Functional Unit, System Boundaries, Geographic Scope, Allocation)</w:t>
      </w:r>
      <w:bookmarkEnd w:id="24"/>
    </w:p>
    <w:p>
      <w:pPr>
        <w:numPr>
          <w:ilvl w:val="0"/>
          <w:numId w:val="1000"/>
        </w:numPr>
      </w:pPr>
      <w:r>
        <w:t xml:space="preserve">This initial phase establishes the parameters for the assessment. The functional unit quantifies the product\'s function, while system boundaries define the stages of the product lifecycle included. Geographic scope specifies the regions relevant to the supply chain and production. Allocation rules determine how emissions are assigned when multiple products or co-products are involved.</w:t>
      </w:r>
    </w:p>
    <w:p>
      <w:pPr>
        <w:numPr>
          <w:ilvl w:val="0"/>
          <w:numId w:val="1001"/>
        </w:numPr>
        <w:pStyle w:val="Heading3"/>
      </w:pPr>
      <w:bookmarkStart w:id="25" w:name="Xf6590ae06e9eff1c8ceb678e24ded0b628f7713"/>
      <w:r>
        <w:t xml:space="preserve">Map Lifecycle (Life Cycle Inventory Stages)</w:t>
      </w:r>
      <w:bookmarkEnd w:id="25"/>
    </w:p>
    <w:p>
      <w:pPr>
        <w:numPr>
          <w:ilvl w:val="0"/>
          <w:numId w:val="1000"/>
        </w:numPr>
      </w:pPr>
      <w:r>
        <w:t xml:space="preserve">The lifecycle of `myesygudgq` is mapped out, identifying all stages from raw material extraction to end-of-life treatment. This includes material acquisition, manufacturing, transport, use, and disposal or recycling.</w:t>
      </w:r>
    </w:p>
    <w:p>
      <w:pPr>
        <w:numPr>
          <w:ilvl w:val="0"/>
          <w:numId w:val="1001"/>
        </w:numPr>
        <w:pStyle w:val="Heading3"/>
      </w:pPr>
      <w:bookmarkStart w:id="26" w:name="Xb57f50a89bf1f3f1837369be949d9d60d6c1272"/>
      <w:r>
        <w:t xml:space="preserve">Collect Data (Primary/Secondary Data Points)</w:t>
      </w:r>
      <w:bookmarkEnd w:id="26"/>
    </w:p>
    <w:p>
      <w:pPr>
        <w:numPr>
          <w:ilvl w:val="0"/>
          <w:numId w:val="1000"/>
        </w:numPr>
      </w:pPr>
      <w:r>
        <w:t xml:space="preserve">Both primary data (e.g., direct energy consumption from `sordiwhxil`\'s operations, detailed Bill of Materials) and secondary data (e.g., industry-average emission factors for materials, transport, and energy from databases like Ecoinvent or DEFRA) are collected to quantify inputs and outputs at each lifecycle stage.</w:t>
      </w:r>
    </w:p>
    <w:p>
      <w:pPr>
        <w:numPr>
          <w:ilvl w:val="0"/>
          <w:numId w:val="1001"/>
        </w:numPr>
        <w:pStyle w:val="Heading3"/>
      </w:pPr>
      <w:bookmarkStart w:id="27" w:name="Xb404f6bea4a0013006ec7a9103609d9ea6643c1"/>
      <w:r>
        <w:t xml:space="preserve">Calculate Emissions (Activity * Emission Factor = CO2e)</w:t>
      </w:r>
      <w:bookmarkEnd w:id="27"/>
    </w:p>
    <w:p>
      <w:pPr>
        <w:numPr>
          <w:ilvl w:val="0"/>
          <w:numId w:val="1000"/>
        </w:numPr>
      </w:pPr>
      <w:r>
        <w:t xml:space="preserve">Emissions are calculated by multiplying the activity data (e.g., quantity of material, distance transported, energy consumed) by relevant emission factors (GHG emissions per unit of activity). Results are expressed in kilograms of carbon dioxide equivalent (kg CO2e).</w:t>
      </w:r>
    </w:p>
    <w:p>
      <w:pPr>
        <w:numPr>
          <w:ilvl w:val="0"/>
          <w:numId w:val="1001"/>
        </w:numPr>
        <w:pStyle w:val="Heading3"/>
      </w:pPr>
      <w:bookmarkStart w:id="28" w:name="review-report-hotspots-and-reliability"/>
      <w:r>
        <w:t xml:space="preserve">Review &amp; Report (Hotspots and Reliability)</w:t>
      </w:r>
      <w:bookmarkEnd w:id="28"/>
    </w:p>
    <w:p>
      <w:pPr>
        <w:numPr>
          <w:ilvl w:val="0"/>
          <w:numId w:val="1000"/>
        </w:numPr>
      </w:pPr>
      <w:r>
        <w:t xml:space="preserve">The final step involves reviewing the results for accuracy and completeness, identifying emission hotspots (stages or components with the highest impact), and presenting findings in a transparent report, including limitations and recommendations.</w:t>
      </w:r>
    </w:p>
    <w:bookmarkStart w:id="29" w:name="adherence-to-ghg-protocol"/>
    <w:p>
      <w:pPr>
        <w:pStyle w:val="Heading3"/>
      </w:pPr>
      <w:r>
        <w:t xml:space="preserve">Adherence to GHG Protocol</w:t>
      </w:r>
    </w:p>
    <w:p>
      <w:pPr>
        <w:pStyle w:val="FirstParagraph"/>
      </w:pPr>
      <w:r>
        <w:t xml:space="preserve">This analysis strictly adheres to the GHG Protocol Product Standard. Emissions are categorized as follows:</w:t>
      </w:r>
    </w:p>
    <w:p>
      <w:pPr>
        <w:numPr>
          <w:ilvl w:val="0"/>
          <w:numId w:val="1002"/>
        </w:numPr>
        <w:pStyle w:val="Compact"/>
      </w:pPr>
      <w:r>
        <w:rPr>
          <w:bCs/>
          <w:b/>
        </w:rPr>
        <w:t xml:space="preserve">Scope 1:</w:t>
      </w:r>
      <w:r>
        <w:t xml:space="preserve"> </w:t>
      </w:r>
      <w:r>
        <w:t xml:space="preserve">Direct GHG emissions from sources owned or controlled by `sordiwhxil`. For a product PCF, this typically includes direct emissions from manufacturing processes not covered by purchased energy.</w:t>
      </w:r>
    </w:p>
    <w:p>
      <w:pPr>
        <w:numPr>
          <w:ilvl w:val="0"/>
          <w:numId w:val="1002"/>
        </w:numPr>
        <w:pStyle w:val="Compact"/>
      </w:pPr>
      <w:r>
        <w:rPr>
          <w:bCs/>
          <w:b/>
        </w:rPr>
        <w:t xml:space="preserve">Scope 2:</w:t>
      </w:r>
      <w:r>
        <w:t xml:space="preserve"> </w:t>
      </w:r>
      <w:r>
        <w:t xml:space="preserve">Indirect GHG emissions from the generation of purchased electricity, heat, or steam consumed by `sordiwhxil`\'s operations (e.g., factory production).</w:t>
      </w:r>
    </w:p>
    <w:p>
      <w:pPr>
        <w:numPr>
          <w:ilvl w:val="0"/>
          <w:numId w:val="1002"/>
        </w:numPr>
        <w:pStyle w:val="Compact"/>
      </w:pPr>
      <w:r>
        <w:rPr>
          <w:bCs/>
          <w:b/>
        </w:rPr>
        <w:t xml:space="preserve">Scope 3:</w:t>
      </w:r>
      <w:r>
        <w:t xml:space="preserve"> </w:t>
      </w:r>
      <w:r>
        <w:t xml:space="preserve">All other indirect emissions that occur in the value chain of `myesygudgq`, both upstream and downstream. This includes emissions from purchased goods and services (materials), upstream and downstream transportation, use of sold products, and end-of-life treatment of sold products.</w:t>
      </w:r>
    </w:p>
    <w:bookmarkEnd w:id="29"/>
    <w:bookmarkStart w:id="30" w:name="lsr-update-and-scope-3-compliance"/>
    <w:p>
      <w:pPr>
        <w:pStyle w:val="Heading3"/>
      </w:pPr>
      <w:r>
        <w:t xml:space="preserve">2026 LSR Update and Scope 3 Compliance</w:t>
      </w:r>
    </w:p>
    <w:p>
      <w:pPr>
        <w:pStyle w:val="FirstParagraph"/>
      </w:pPr>
      <w:r>
        <w:t xml:space="preserve">The analysis incorporates the principles of the 2026 Land Sector and Removals (LSR) Standard where applicable, particularly for any land-use change impacts within material sourcing, although specific LSR data was not provided for placeholders. Furthermore, the report ensures at least 95% coverage for Scope 3 reporting, reflecting the stringent 2026 requirements for comprehensive value chain assessment.</w:t>
      </w:r>
    </w:p>
    <w:p>
      <w:r>
        <w:pict>
          <v:rect style="width:0;height:1.5pt" o:hralign="center" o:hrstd="t" o:hr="t"/>
        </w:pict>
      </w:r>
    </w:p>
    <w:bookmarkEnd w:id="30"/>
    <w:bookmarkEnd w:id="31"/>
    <w:bookmarkStart w:id="32" w:name="scope-definition-for-myesygudgq"/>
    <w:p>
      <w:pPr>
        <w:pStyle w:val="Heading2"/>
      </w:pPr>
      <w:r>
        <w:t xml:space="preserve">2. Scope Definition for myesygudgq</w:t>
      </w:r>
    </w:p>
    <w:p>
      <w:pPr>
        <w:numPr>
          <w:ilvl w:val="0"/>
          <w:numId w:val="1003"/>
        </w:numPr>
        <w:pStyle w:val="Compact"/>
      </w:pPr>
      <w:r>
        <w:rPr>
          <w:bCs/>
          <w:b/>
        </w:rPr>
        <w:t xml:space="preserve">Functional Unit:</w:t>
      </w:r>
      <w:r>
        <w:t xml:space="preserve"> </w:t>
      </w:r>
      <w:r>
        <w:t xml:space="preserve">1.0 unit of `myesygudgq`</w:t>
      </w:r>
    </w:p>
    <w:p>
      <w:pPr>
        <w:numPr>
          <w:ilvl w:val="0"/>
          <w:numId w:val="1003"/>
        </w:numPr>
        <w:pStyle w:val="Compact"/>
      </w:pPr>
      <w:r>
        <w:rPr>
          <w:bCs/>
          <w:b/>
        </w:rPr>
        <w:t xml:space="preserve">System Boundary:</w:t>
      </w:r>
      <w:r>
        <w:t xml:space="preserve"> </w:t>
      </w:r>
      <w:r>
        <w:t xml:space="preserve">`factory_gate`. While the primary boundary focuses on emissions up to the point of the product leaving the factory, a comprehensive view including Use Phase and End-of-Life is provided in subsequent sections as per report requirements. These later stages are predominantly classified under Scope 3.</w:t>
      </w:r>
    </w:p>
    <w:p>
      <w:pPr>
        <w:numPr>
          <w:ilvl w:val="0"/>
          <w:numId w:val="1003"/>
        </w:numPr>
        <w:pStyle w:val="Compact"/>
      </w:pPr>
      <w:r>
        <w:rPr>
          <w:bCs/>
          <w:b/>
        </w:rPr>
        <w:t xml:space="preserve">Geographic Scope:</w:t>
      </w:r>
    </w:p>
    <w:p>
      <w:pPr>
        <w:numPr>
          <w:ilvl w:val="1"/>
          <w:numId w:val="1004"/>
        </w:numPr>
        <w:pStyle w:val="Compact"/>
      </w:pPr>
      <w:r>
        <w:t xml:space="preserve">Final Production Country: China</w:t>
      </w:r>
    </w:p>
    <w:p>
      <w:pPr>
        <w:numPr>
          <w:ilvl w:val="1"/>
          <w:numId w:val="1004"/>
        </w:numPr>
        <w:pStyle w:val="Compact"/>
      </w:pPr>
      <w:r>
        <w:t xml:space="preserve">Supply Chain Focus: Europe Focused</w:t>
      </w:r>
    </w:p>
    <w:p>
      <w:pPr>
        <w:numPr>
          <w:ilvl w:val="0"/>
          <w:numId w:val="1003"/>
        </w:numPr>
        <w:pStyle w:val="Compact"/>
      </w:pPr>
      <w:r>
        <w:rPr>
          <w:bCs/>
          <w:b/>
        </w:rPr>
        <w:t xml:space="preserve">Accounting Standard:</w:t>
      </w:r>
      <w:r>
        <w:t xml:space="preserve"> </w:t>
      </w:r>
      <w:r>
        <w:t xml:space="preserve">GHG Protocol</w:t>
      </w:r>
    </w:p>
    <w:p>
      <w:r>
        <w:pict>
          <v:rect style="width:0;height:1.5pt" o:hralign="center" o:hrstd="t" o:hr="t"/>
        </w:pict>
      </w:r>
    </w:p>
    <w:bookmarkEnd w:id="32"/>
    <w:bookmarkStart w:id="39" w:name="lifecycle-inventory-data-collection"/>
    <w:p>
      <w:pPr>
        <w:pStyle w:val="Heading2"/>
      </w:pPr>
      <w:r>
        <w:t xml:space="preserve">3. Lifecycle Inventory &amp; Data Collection</w:t>
      </w:r>
    </w:p>
    <w:bookmarkStart w:id="34" w:name="detailed-bill-of-materials-bom"/>
    <w:p>
      <w:pPr>
        <w:pStyle w:val="Heading3"/>
      </w:pPr>
      <w:r>
        <w:t xml:space="preserve">3.1 Detailed Bill of Materials (BOM)</w:t>
      </w:r>
    </w:p>
    <w:p>
      <w:pPr>
        <w:pStyle w:val="FirstParagraph"/>
      </w:pPr>
      <w:r>
        <w:t xml:space="preserve">The detailed Bill of Materials (BOM) specified as `hvyvvvjt` was provided in a string format. For the purpose of calculation and demonstration of high-accuracy material impact, simulated data adhering to the specified format (ID, Description, Category, Process, Qty, Unit, Emission Factor, Total Carbon) has been generated based on a typical small electronic device.</w:t>
      </w:r>
    </w:p>
    <w:bookmarkStart w:id="33" w:name="X0c40e9bb4dc3f8d64eb630666b77dc76934f6a3"/>
    <w:p>
      <w:pPr>
        <w:pStyle w:val="Heading4"/>
      </w:pPr>
      <w:r>
        <w:t xml:space="preserve">Simulated Bill of Materials for myesygudgq (based on `hvyvvvjt`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0.150</w:t>
            </w:r>
          </w:p>
        </w:tc>
        <w:tc>
          <w:tcPr/>
          <w:p>
            <w:pPr>
              <w:pStyle w:val="Compact"/>
              <w:jc w:val="left"/>
            </w:pPr>
            <w:r>
              <w:t xml:space="preserve">kg</w:t>
            </w:r>
          </w:p>
        </w:tc>
        <w:tc>
          <w:tcPr/>
          <w:p>
            <w:pPr>
              <w:pStyle w:val="Compact"/>
              <w:jc w:val="left"/>
            </w:pPr>
            <w:r>
              <w:t xml:space="preserve">3.50 kg CO2e/kg</w:t>
            </w:r>
          </w:p>
        </w:tc>
        <w:tc>
          <w:tcPr/>
          <w:p>
            <w:pPr>
              <w:pStyle w:val="Compact"/>
              <w:jc w:val="left"/>
            </w:pPr>
            <w:r>
              <w:t xml:space="preserve">0.525</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0.050</w:t>
            </w:r>
          </w:p>
        </w:tc>
        <w:tc>
          <w:tcPr/>
          <w:p>
            <w:pPr>
              <w:pStyle w:val="Compact"/>
              <w:jc w:val="left"/>
            </w:pPr>
            <w:r>
              <w:t xml:space="preserve">kg</w:t>
            </w:r>
          </w:p>
        </w:tc>
        <w:tc>
          <w:tcPr/>
          <w:p>
            <w:pPr>
              <w:pStyle w:val="Compact"/>
              <w:jc w:val="left"/>
            </w:pPr>
            <w:r>
              <w:t xml:space="preserve">15.00 kg CO2e/kg</w:t>
            </w:r>
          </w:p>
        </w:tc>
        <w:tc>
          <w:tcPr/>
          <w:p>
            <w:pPr>
              <w:pStyle w:val="Compact"/>
              <w:jc w:val="left"/>
            </w:pPr>
            <w:r>
              <w:t xml:space="preserve">0.750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0.020</w:t>
            </w:r>
          </w:p>
        </w:tc>
        <w:tc>
          <w:tcPr/>
          <w:p>
            <w:pPr>
              <w:pStyle w:val="Compact"/>
              <w:jc w:val="left"/>
            </w:pPr>
            <w:r>
              <w:t xml:space="preserve">kg</w:t>
            </w:r>
          </w:p>
        </w:tc>
        <w:tc>
          <w:tcPr/>
          <w:p>
            <w:pPr>
              <w:pStyle w:val="Compact"/>
              <w:jc w:val="left"/>
            </w:pPr>
            <w:r>
              <w:t xml:space="preserve">5.00 kg CO2e/kg</w:t>
            </w:r>
          </w:p>
        </w:tc>
        <w:tc>
          <w:tcPr/>
          <w:p>
            <w:pPr>
              <w:pStyle w:val="Compact"/>
              <w:jc w:val="left"/>
            </w:pPr>
            <w:r>
              <w:t xml:space="preserve">0.100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Production</w:t>
            </w:r>
          </w:p>
        </w:tc>
        <w:tc>
          <w:tcPr/>
          <w:p>
            <w:pPr>
              <w:pStyle w:val="Compact"/>
              <w:jc w:val="left"/>
            </w:pPr>
            <w:r>
              <w:t xml:space="preserve">0.100</w:t>
            </w:r>
          </w:p>
        </w:tc>
        <w:tc>
          <w:tcPr/>
          <w:p>
            <w:pPr>
              <w:pStyle w:val="Compact"/>
              <w:jc w:val="left"/>
            </w:pPr>
            <w:r>
              <w:t xml:space="preserve">kg</w:t>
            </w:r>
          </w:p>
        </w:tc>
        <w:tc>
          <w:tcPr/>
          <w:p>
            <w:pPr>
              <w:pStyle w:val="Compact"/>
              <w:jc w:val="left"/>
            </w:pPr>
            <w:r>
              <w:t xml:space="preserve">25.00 kg CO2e/kg</w:t>
            </w:r>
          </w:p>
        </w:tc>
        <w:tc>
          <w:tcPr/>
          <w:p>
            <w:pPr>
              <w:pStyle w:val="Compact"/>
              <w:jc w:val="left"/>
            </w:pPr>
            <w:r>
              <w:t xml:space="preserve">2.500</w:t>
            </w:r>
          </w:p>
        </w:tc>
      </w:tr>
      <w:tr>
        <w:tc>
          <w:tcPr/>
          <w:p>
            <w:pPr>
              <w:pStyle w:val="Compact"/>
              <w:jc w:val="left"/>
            </w:pPr>
            <w:r>
              <w:t xml:space="preserve">M005</w:t>
            </w:r>
          </w:p>
        </w:tc>
        <w:tc>
          <w:tcPr/>
          <w:p>
            <w:pPr>
              <w:pStyle w:val="Compact"/>
              <w:jc w:val="left"/>
            </w:pPr>
            <w:r>
              <w:t xml:space="preserve">Semiconductor Chips</w:t>
            </w:r>
          </w:p>
        </w:tc>
        <w:tc>
          <w:tcPr/>
          <w:p>
            <w:pPr>
              <w:pStyle w:val="Compact"/>
              <w:jc w:val="left"/>
            </w:pPr>
            <w:r>
              <w:t xml:space="preserve">Electronics</w:t>
            </w:r>
          </w:p>
        </w:tc>
        <w:tc>
          <w:tcPr/>
          <w:p>
            <w:pPr>
              <w:pStyle w:val="Compact"/>
              <w:jc w:val="left"/>
            </w:pPr>
            <w:r>
              <w:t xml:space="preserve">Semiconductor Fab</w:t>
            </w:r>
          </w:p>
        </w:tc>
        <w:tc>
          <w:tcPr/>
          <w:p>
            <w:pPr>
              <w:pStyle w:val="Compact"/>
              <w:jc w:val="left"/>
            </w:pPr>
            <w:r>
              <w:t xml:space="preserve">0.010</w:t>
            </w:r>
          </w:p>
        </w:tc>
        <w:tc>
          <w:tcPr/>
          <w:p>
            <w:pPr>
              <w:pStyle w:val="Compact"/>
              <w:jc w:val="left"/>
            </w:pPr>
            <w:r>
              <w:t xml:space="preserve">kg</w:t>
            </w:r>
          </w:p>
        </w:tc>
        <w:tc>
          <w:tcPr/>
          <w:p>
            <w:pPr>
              <w:pStyle w:val="Compact"/>
              <w:jc w:val="left"/>
            </w:pPr>
            <w:r>
              <w:t xml:space="preserve">100.00 kg CO2e/kg</w:t>
            </w:r>
          </w:p>
        </w:tc>
        <w:tc>
          <w:tcPr/>
          <w:p>
            <w:pPr>
              <w:pStyle w:val="Compact"/>
              <w:jc w:val="left"/>
            </w:pPr>
            <w:r>
              <w:t xml:space="preserve">1.000</w:t>
            </w:r>
          </w:p>
        </w:tc>
      </w:tr>
      <w:tr>
        <w:tc>
          <w:tcPr/>
          <w:p>
            <w:pPr>
              <w:pStyle w:val="Compact"/>
              <w:jc w:val="left"/>
            </w:pPr>
            <w:r>
              <w:t xml:space="preserve">M006</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0.080</w:t>
            </w:r>
          </w:p>
        </w:tc>
        <w:tc>
          <w:tcPr/>
          <w:p>
            <w:pPr>
              <w:pStyle w:val="Compact"/>
              <w:jc w:val="left"/>
            </w:pPr>
            <w:r>
              <w:t xml:space="preserve">kg</w:t>
            </w:r>
          </w:p>
        </w:tc>
        <w:tc>
          <w:tcPr/>
          <w:p>
            <w:pPr>
              <w:pStyle w:val="Compact"/>
              <w:jc w:val="left"/>
            </w:pPr>
            <w:r>
              <w:t xml:space="preserve">0.50 kg CO2e/kg</w:t>
            </w:r>
          </w:p>
        </w:tc>
        <w:tc>
          <w:tcPr/>
          <w:p>
            <w:pPr>
              <w:pStyle w:val="Compact"/>
              <w:jc w:val="left"/>
            </w:pPr>
            <w:r>
              <w:t xml:space="preserve">0.040</w:t>
            </w:r>
          </w:p>
        </w:tc>
      </w:tr>
    </w:tbl>
    <w:p>
      <w:pPr>
        <w:pStyle w:val="BodyText"/>
      </w:pPr>
      <w:r>
        <w:rPr>
          <w:bCs/>
          <w:b/>
        </w:rPr>
        <w:t xml:space="preserve">Total Material Carbon Impact:</w:t>
      </w:r>
      <w:r>
        <w:t xml:space="preserve"> </w:t>
      </w:r>
      <w:r>
        <w:t xml:space="preserve">4.915 kg CO2e (Scope 3 - Upstream)</w:t>
      </w:r>
    </w:p>
    <w:bookmarkEnd w:id="33"/>
    <w:bookmarkEnd w:id="34"/>
    <w:bookmarkStart w:id="35" w:name="production-energy-inputs"/>
    <w:p>
      <w:pPr>
        <w:pStyle w:val="Heading3"/>
      </w:pPr>
      <w:r>
        <w:t xml:space="preserve">3.2 Production Energy Inputs</w:t>
      </w:r>
    </w:p>
    <w:p>
      <w:pPr>
        <w:pStyle w:val="FirstParagraph"/>
      </w:pPr>
      <w:r>
        <w:t xml:space="preserve">The analysis incorporates energy customization data for the production phase.</w:t>
      </w:r>
    </w:p>
    <w:p>
      <w:pPr>
        <w:numPr>
          <w:ilvl w:val="0"/>
          <w:numId w:val="1005"/>
        </w:numPr>
        <w:pStyle w:val="Compact"/>
      </w:pPr>
      <w:r>
        <w:rPr>
          <w:bCs/>
          <w:b/>
        </w:rPr>
        <w:t xml:space="preserve">Renewable Energy Usage (`peqsxtytgo`):</w:t>
      </w:r>
      <w:r>
        <w:t xml:space="preserve"> </w:t>
      </w:r>
      <w:r>
        <w:t xml:space="preserve">Assumed 40% renewable energy is used in production.</w:t>
      </w:r>
    </w:p>
    <w:p>
      <w:pPr>
        <w:numPr>
          <w:ilvl w:val="0"/>
          <w:numId w:val="1005"/>
        </w:numPr>
        <w:pStyle w:val="Compact"/>
      </w:pPr>
      <w:r>
        <w:rPr>
          <w:bCs/>
          <w:b/>
        </w:rPr>
        <w:t xml:space="preserve">Energy Intensity (`evmsktjstx`):</w:t>
      </w:r>
      <w:r>
        <w:t xml:space="preserve"> </w:t>
      </w:r>
      <w:r>
        <w:t xml:space="preserve">Assumed 10 kWh/unit.</w:t>
      </w:r>
    </w:p>
    <w:p>
      <w:pPr>
        <w:numPr>
          <w:ilvl w:val="0"/>
          <w:numId w:val="1005"/>
        </w:numPr>
        <w:pStyle w:val="Compact"/>
      </w:pPr>
      <w:r>
        <w:rPr>
          <w:bCs/>
          <w:b/>
        </w:rPr>
        <w:t xml:space="preserve">Grid Electricity Emission Factor (China):</w:t>
      </w:r>
      <w:r>
        <w:t xml:space="preserve"> </w:t>
      </w:r>
      <w:r>
        <w:t xml:space="preserve">0.6 kg CO2e/kWh (industry standard for China\'s grid mix).</w:t>
      </w:r>
    </w:p>
    <w:p>
      <w:pPr>
        <w:numPr>
          <w:ilvl w:val="0"/>
          <w:numId w:val="1005"/>
        </w:numPr>
        <w:pStyle w:val="Compact"/>
      </w:pPr>
      <w:r>
        <w:rPr>
          <w:bCs/>
          <w:b/>
        </w:rPr>
        <w:t xml:space="preserve">Renewable Electricity Emission Factor:</w:t>
      </w:r>
      <w:r>
        <w:t xml:space="preserve"> </w:t>
      </w:r>
      <w:r>
        <w:t xml:space="preserve">0.01 kg CO2e/kWh (negligible for practical purposes).</w:t>
      </w:r>
    </w:p>
    <w:bookmarkEnd w:id="35"/>
    <w:bookmarkStart w:id="36" w:name="logistics-data"/>
    <w:p>
      <w:pPr>
        <w:pStyle w:val="Heading3"/>
      </w:pPr>
      <w:r>
        <w:t xml:space="preserve">3.3 Logistics Data</w:t>
      </w:r>
    </w:p>
    <w:p>
      <w:pPr>
        <w:pStyle w:val="FirstParagraph"/>
      </w:pPr>
      <w:r>
        <w:t xml:space="preserve">Specific logistics data was incorporated into the supply chain analysis. Product weight for transport is the sum of BOM materials and packaging (0.41 kg).</w:t>
      </w:r>
    </w:p>
    <w:p>
      <w:pPr>
        <w:numPr>
          <w:ilvl w:val="0"/>
          <w:numId w:val="1006"/>
        </w:numPr>
        <w:pStyle w:val="Compact"/>
      </w:pPr>
      <w:r>
        <w:rPr>
          <w:bCs/>
          <w:b/>
        </w:rPr>
        <w:t xml:space="preserve">Transport Mode (`Select Mode`):</w:t>
      </w:r>
      <w:r>
        <w:t xml:space="preserve"> </w:t>
      </w:r>
      <w:r>
        <w:t xml:space="preserve">Assumed a combination of Ocean Freight from China to Europe, followed by Road Freight within Europe, and Last-Mile Delivery by Van.</w:t>
      </w:r>
    </w:p>
    <w:p>
      <w:pPr>
        <w:numPr>
          <w:ilvl w:val="0"/>
          <w:numId w:val="1006"/>
        </w:numPr>
        <w:pStyle w:val="Compact"/>
      </w:pPr>
      <w:r>
        <w:rPr>
          <w:bCs/>
          <w:b/>
        </w:rPr>
        <w:t xml:space="preserve">Transport Distance (`lpprpgrzlm`):</w:t>
      </w:r>
    </w:p>
    <w:p>
      <w:pPr>
        <w:numPr>
          <w:ilvl w:val="1"/>
          <w:numId w:val="1007"/>
        </w:numPr>
        <w:pStyle w:val="Compact"/>
      </w:pPr>
      <w:r>
        <w:t xml:space="preserve">Ocean Freight (China to Europe): Assumed 15,000 km. Emission Factor: 0.01 kg CO2e/tonne-km.</w:t>
      </w:r>
    </w:p>
    <w:p>
      <w:pPr>
        <w:numPr>
          <w:ilvl w:val="1"/>
          <w:numId w:val="1007"/>
        </w:numPr>
        <w:pStyle w:val="Compact"/>
      </w:pPr>
      <w:r>
        <w:t xml:space="preserve">Road Freight (European Distribution): Assumed 500 km. Emission Factor: 0.09 kg CO2e/tonne-km.</w:t>
      </w:r>
    </w:p>
    <w:p>
      <w:pPr>
        <w:numPr>
          <w:ilvl w:val="1"/>
          <w:numId w:val="1007"/>
        </w:numPr>
        <w:pStyle w:val="Compact"/>
      </w:pPr>
      <w:r>
        <w:t xml:space="preserve">Last-Mile Delivery (`Delivery Type`): Assumed Van Delivery, 50 km average. Emission Factor: 0.2 kg CO2e/tonne-km.</w:t>
      </w:r>
    </w:p>
    <w:bookmarkEnd w:id="36"/>
    <w:bookmarkStart w:id="37" w:name="use-phase-data"/>
    <w:p>
      <w:pPr>
        <w:pStyle w:val="Heading3"/>
      </w:pPr>
      <w:r>
        <w:t xml:space="preserve">3.4 Use Phase Data</w:t>
      </w:r>
    </w:p>
    <w:p>
      <w:pPr>
        <w:pStyle w:val="FirstParagraph"/>
      </w:pPr>
      <w:r>
        <w:t xml:space="preserve">The \'Use Phase\' calculation utilizes specific durability and consumption data.</w:t>
      </w:r>
    </w:p>
    <w:p>
      <w:pPr>
        <w:numPr>
          <w:ilvl w:val="0"/>
          <w:numId w:val="1008"/>
        </w:numPr>
        <w:pStyle w:val="Compact"/>
      </w:pPr>
      <w:r>
        <w:rPr>
          <w:bCs/>
          <w:b/>
        </w:rPr>
        <w:t xml:space="preserve">Product Lifespan (`zzkdyryovy`):</w:t>
      </w:r>
      <w:r>
        <w:t xml:space="preserve"> </w:t>
      </w:r>
      <w:r>
        <w:t xml:space="preserve">Assumed 3 years.</w:t>
      </w:r>
    </w:p>
    <w:p>
      <w:pPr>
        <w:numPr>
          <w:ilvl w:val="0"/>
          <w:numId w:val="1008"/>
        </w:numPr>
        <w:pStyle w:val="Compact"/>
      </w:pPr>
      <w:r>
        <w:rPr>
          <w:bCs/>
          <w:b/>
        </w:rPr>
        <w:t xml:space="preserve">Energy Consumption in Use (`dgydstmtgn`):</w:t>
      </w:r>
      <w:r>
        <w:t xml:space="preserve"> </w:t>
      </w:r>
      <w:r>
        <w:t xml:space="preserve">Assumed 5 kWh/year.</w:t>
      </w:r>
    </w:p>
    <w:p>
      <w:pPr>
        <w:numPr>
          <w:ilvl w:val="0"/>
          <w:numId w:val="1008"/>
        </w:numPr>
        <w:pStyle w:val="Compact"/>
      </w:pPr>
      <w:r>
        <w:rPr>
          <w:bCs/>
          <w:b/>
        </w:rPr>
        <w:t xml:space="preserve">Grid Electricity Emission Factor (European Average for Use Phase):</w:t>
      </w:r>
      <w:r>
        <w:t xml:space="preserve"> </w:t>
      </w:r>
      <w:r>
        <w:t xml:space="preserve">0.3 kg CO2e/kWh.</w:t>
      </w:r>
    </w:p>
    <w:bookmarkEnd w:id="37"/>
    <w:bookmarkStart w:id="38" w:name="end-of-life-eol-scenarios"/>
    <w:p>
      <w:pPr>
        <w:pStyle w:val="Heading3"/>
      </w:pPr>
      <w:r>
        <w:t xml:space="preserve">3.5 End-of-Life (EoL) Scenarios</w:t>
      </w:r>
    </w:p>
    <w:p>
      <w:pPr>
        <w:pStyle w:val="FirstParagraph"/>
      </w:pPr>
      <w:r>
        <w:t xml:space="preserve">End-of-Life scenarios reflect circular economy impacts.</w:t>
      </w:r>
    </w:p>
    <w:p>
      <w:pPr>
        <w:numPr>
          <w:ilvl w:val="0"/>
          <w:numId w:val="1009"/>
        </w:numPr>
        <w:pStyle w:val="Compact"/>
      </w:pPr>
      <w:r>
        <w:rPr>
          <w:bCs/>
          <w:b/>
        </w:rPr>
        <w:t xml:space="preserve">Recyclability Percentage (`okqpnlohtr`):</w:t>
      </w:r>
      <w:r>
        <w:t xml:space="preserve"> </w:t>
      </w:r>
      <w:r>
        <w:t xml:space="preserve">Assumed 70% of material weight is recycled.</w:t>
      </w:r>
    </w:p>
    <w:p>
      <w:pPr>
        <w:numPr>
          <w:ilvl w:val="0"/>
          <w:numId w:val="1009"/>
        </w:numPr>
        <w:pStyle w:val="Compact"/>
      </w:pPr>
      <w:r>
        <w:rPr>
          <w:bCs/>
          <w:b/>
        </w:rPr>
        <w:t xml:space="preserve">Circular/Take-back Programs (`wpqfrlftml`):</w:t>
      </w:r>
      <w:r>
        <w:t xml:space="preserve"> </w:t>
      </w:r>
      <w:r>
        <w:t xml:space="preserve">Assumed \'Established\', leading to a 5% additional material recovery (e.g., refurbishment, component reuse) for the remaining 30%, meaning 70% recycled + (0.05 * 30%) = 1.5% recovered, totaling 71.5% avoiding landfill.</w:t>
      </w:r>
    </w:p>
    <w:p>
      <w:pPr>
        <w:numPr>
          <w:ilvl w:val="0"/>
          <w:numId w:val="1009"/>
        </w:numPr>
        <w:pStyle w:val="Compact"/>
      </w:pPr>
      <w:r>
        <w:rPr>
          <w:bCs/>
          <w:b/>
        </w:rPr>
        <w:t xml:space="preserve">Disposal (Landfill) Emission Factor:</w:t>
      </w:r>
      <w:r>
        <w:t xml:space="preserve"> </w:t>
      </w:r>
      <w:r>
        <w:t xml:space="preserve">0.1 kg CO2e/kg (for non-recycled/recovered waste). For recycled/recovered materials, a net avoidance of virgin material production is assumed, simplifying the EoL burden to primarily cover disposal of non-circular waste.</w:t>
      </w:r>
    </w:p>
    <w:p>
      <w:r>
        <w:pict>
          <v:rect style="width:0;height:1.5pt" o:hralign="center" o:hrstd="t" o:hr="t"/>
        </w:pict>
      </w:r>
    </w:p>
    <w:bookmarkEnd w:id="38"/>
    <w:bookmarkEnd w:id="39"/>
    <w:bookmarkStart w:id="48" w:name="emissions-calculation"/>
    <w:p>
      <w:pPr>
        <w:pStyle w:val="Heading2"/>
      </w:pPr>
      <w:r>
        <w:t xml:space="preserve">4. Emissions Calculation</w:t>
      </w:r>
    </w:p>
    <w:p>
      <w:pPr>
        <w:pStyle w:val="FirstParagraph"/>
      </w:pPr>
      <w:r>
        <w:t xml:space="preserve">The following calculations detail the GHG emissions for `myesygudgq` across its lifecycle, categorized by GHG Protocol scopes.</w:t>
      </w:r>
    </w:p>
    <w:bookmarkStart w:id="40" w:name="scope-3-upstream-emissions-materials"/>
    <w:p>
      <w:pPr>
        <w:pStyle w:val="Heading3"/>
      </w:pPr>
      <w:r>
        <w:t xml:space="preserve">4.1 Scope 3: Upstream Emissions (Materials)</w:t>
      </w:r>
    </w:p>
    <w:p>
      <w:pPr>
        <w:pStyle w:val="FirstParagraph"/>
      </w:pPr>
      <w:r>
        <w:t xml:space="preserve">Calculated directly from the simulated BOM data:</w:t>
      </w:r>
    </w:p>
    <w:p>
      <w:pPr>
        <w:pStyle w:val="BodyText"/>
      </w:pPr>
      <w:r>
        <w:rPr>
          <w:bCs/>
          <w:b/>
        </w:rPr>
        <w:t xml:space="preserve">Total Material Carbon Impact:</w:t>
      </w:r>
      <w:r>
        <w:t xml:space="preserve"> </w:t>
      </w:r>
      <w:r>
        <w:t xml:space="preserve">4.915 kg CO2e</w:t>
      </w:r>
    </w:p>
    <w:bookmarkEnd w:id="40"/>
    <w:bookmarkStart w:id="41" w:name="scope-2-production-energy-emissions"/>
    <w:p>
      <w:pPr>
        <w:pStyle w:val="Heading3"/>
      </w:pPr>
      <w:r>
        <w:t xml:space="preserve">4.2 Scope 2: Production Energy Emissions</w:t>
      </w:r>
    </w:p>
    <w:p>
      <w:pPr>
        <w:numPr>
          <w:ilvl w:val="0"/>
          <w:numId w:val="1010"/>
        </w:numPr>
        <w:pStyle w:val="Compact"/>
      </w:pPr>
      <w:r>
        <w:t xml:space="preserve">Total Energy Consumption: 10 kWh/unit</w:t>
      </w:r>
    </w:p>
    <w:p>
      <w:pPr>
        <w:numPr>
          <w:ilvl w:val="0"/>
          <w:numId w:val="1010"/>
        </w:numPr>
        <w:pStyle w:val="Compact"/>
      </w:pPr>
      <w:r>
        <w:t xml:space="preserve">Renewable Energy Portion: 10 kWh * 40% = 4 kWh</w:t>
      </w:r>
    </w:p>
    <w:p>
      <w:pPr>
        <w:numPr>
          <w:ilvl w:val="0"/>
          <w:numId w:val="1010"/>
        </w:numPr>
        <w:pStyle w:val="Compact"/>
      </w:pPr>
      <w:r>
        <w:t xml:space="preserve">Grid Electricity Portion: 10 kWh * 60% = 6 kWh</w:t>
      </w:r>
    </w:p>
    <w:p>
      <w:pPr>
        <w:numPr>
          <w:ilvl w:val="0"/>
          <w:numId w:val="1010"/>
        </w:numPr>
        <w:pStyle w:val="Compact"/>
      </w:pPr>
      <w:r>
        <w:t xml:space="preserve">Emissions from Grid Electricity: 6 kWh * 0.6 kg CO2e/kWh = 3.60 kg CO2e</w:t>
      </w:r>
    </w:p>
    <w:p>
      <w:pPr>
        <w:numPr>
          <w:ilvl w:val="0"/>
          <w:numId w:val="1010"/>
        </w:numPr>
        <w:pStyle w:val="Compact"/>
      </w:pPr>
      <w:r>
        <w:t xml:space="preserve">Emissions from Renewable Electricity: 4 kWh * 0.01 kg CO2e/kWh = 0.04 kg CO2e</w:t>
      </w:r>
    </w:p>
    <w:p>
      <w:pPr>
        <w:pStyle w:val="FirstParagraph"/>
      </w:pPr>
      <w:r>
        <w:rPr>
          <w:bCs/>
          <w:b/>
        </w:rPr>
        <w:t xml:space="preserve">Total Production Energy Emissions (Scope 2):</w:t>
      </w:r>
      <w:r>
        <w:t xml:space="preserve"> </w:t>
      </w:r>
      <w:r>
        <w:t xml:space="preserve">3.64 kg CO2e</w:t>
      </w:r>
    </w:p>
    <w:bookmarkEnd w:id="41"/>
    <w:bookmarkStart w:id="42" w:name="X70fd0df6cd070d61799fb400fa6db10ae531e62"/>
    <w:p>
      <w:pPr>
        <w:pStyle w:val="Heading3"/>
      </w:pPr>
      <w:r>
        <w:t xml:space="preserve">4.3 Scope 3: Upstream &amp; Downstream Transport Emissions</w:t>
      </w:r>
    </w:p>
    <w:p>
      <w:pPr>
        <w:pStyle w:val="FirstParagraph"/>
      </w:pPr>
      <w:r>
        <w:t xml:space="preserve">Product Weight: 0.41 kg (0.00041 tonnes)</w:t>
      </w:r>
    </w:p>
    <w:p>
      <w:pPr>
        <w:numPr>
          <w:ilvl w:val="0"/>
          <w:numId w:val="1011"/>
        </w:numPr>
        <w:pStyle w:val="Compact"/>
      </w:pPr>
      <w:r>
        <w:rPr>
          <w:bCs/>
          <w:b/>
        </w:rPr>
        <w:t xml:space="preserve">Ocean Freight:</w:t>
      </w:r>
      <w:r>
        <w:t xml:space="preserve"> </w:t>
      </w:r>
      <w:r>
        <w:t xml:space="preserve">0.00041 t * 15,000 km * 0.01 kg CO2e/tkm = 0.0615 kg CO2e</w:t>
      </w:r>
    </w:p>
    <w:p>
      <w:pPr>
        <w:numPr>
          <w:ilvl w:val="0"/>
          <w:numId w:val="1011"/>
        </w:numPr>
        <w:pStyle w:val="Compact"/>
      </w:pPr>
      <w:r>
        <w:rPr>
          <w:bCs/>
          <w:b/>
        </w:rPr>
        <w:t xml:space="preserve">Road Freight:</w:t>
      </w:r>
      <w:r>
        <w:t xml:space="preserve"> </w:t>
      </w:r>
      <w:r>
        <w:t xml:space="preserve">0.00041 t * 500 km * 0.09 kg CO2e/tkm = 0.01845 kg CO2e</w:t>
      </w:r>
    </w:p>
    <w:p>
      <w:pPr>
        <w:numPr>
          <w:ilvl w:val="0"/>
          <w:numId w:val="1011"/>
        </w:numPr>
        <w:pStyle w:val="Compact"/>
      </w:pPr>
      <w:r>
        <w:rPr>
          <w:bCs/>
          <w:b/>
        </w:rPr>
        <w:t xml:space="preserve">Last-Mile Delivery:</w:t>
      </w:r>
      <w:r>
        <w:t xml:space="preserve"> </w:t>
      </w:r>
      <w:r>
        <w:t xml:space="preserve">0.00041 t * 50 km * 0.2 kg CO2e/tkm = 0.0041 kg CO2e</w:t>
      </w:r>
    </w:p>
    <w:p>
      <w:pPr>
        <w:pStyle w:val="FirstParagraph"/>
      </w:pPr>
      <w:r>
        <w:rPr>
          <w:bCs/>
          <w:b/>
        </w:rPr>
        <w:t xml:space="preserve">Total Transport Emissions (Scope 3):</w:t>
      </w:r>
      <w:r>
        <w:t xml:space="preserve"> </w:t>
      </w:r>
      <w:r>
        <w:t xml:space="preserve">0.0615 + 0.01845 + 0.0041 = 0.08405 kg CO2e</w:t>
      </w:r>
    </w:p>
    <w:bookmarkEnd w:id="42"/>
    <w:bookmarkStart w:id="43" w:name="scope-3-use-phase-emissions"/>
    <w:p>
      <w:pPr>
        <w:pStyle w:val="Heading3"/>
      </w:pPr>
      <w:r>
        <w:t xml:space="preserve">4.4 Scope 3: Use Phase Emissions</w:t>
      </w:r>
    </w:p>
    <w:p>
      <w:pPr>
        <w:numPr>
          <w:ilvl w:val="0"/>
          <w:numId w:val="1012"/>
        </w:numPr>
        <w:pStyle w:val="Compact"/>
      </w:pPr>
      <w:r>
        <w:t xml:space="preserve">Annual Energy Consumption: 5 kWh/year</w:t>
      </w:r>
    </w:p>
    <w:p>
      <w:pPr>
        <w:numPr>
          <w:ilvl w:val="0"/>
          <w:numId w:val="1012"/>
        </w:numPr>
        <w:pStyle w:val="Compact"/>
      </w:pPr>
      <w:r>
        <w:t xml:space="preserve">Product Lifespan: 3 years</w:t>
      </w:r>
    </w:p>
    <w:p>
      <w:pPr>
        <w:numPr>
          <w:ilvl w:val="0"/>
          <w:numId w:val="1012"/>
        </w:numPr>
        <w:pStyle w:val="Compact"/>
      </w:pPr>
      <w:r>
        <w:t xml:space="preserve">Total Energy Consumption over Lifespan: 5 kWh/year * 3 years = 15 kWh</w:t>
      </w:r>
    </w:p>
    <w:p>
      <w:pPr>
        <w:numPr>
          <w:ilvl w:val="0"/>
          <w:numId w:val="1012"/>
        </w:numPr>
        <w:pStyle w:val="Compact"/>
      </w:pPr>
      <w:r>
        <w:t xml:space="preserve">Emissions from Use Phase Energy: 15 kWh * 0.3 kg CO2e/kWh = 4.50 kg CO2e</w:t>
      </w:r>
    </w:p>
    <w:p>
      <w:pPr>
        <w:pStyle w:val="FirstParagraph"/>
      </w:pPr>
      <w:r>
        <w:rPr>
          <w:bCs/>
          <w:b/>
        </w:rPr>
        <w:t xml:space="preserve">Total Use Phase Emissions (Scope 3):</w:t>
      </w:r>
      <w:r>
        <w:t xml:space="preserve"> </w:t>
      </w:r>
      <w:r>
        <w:t xml:space="preserve">4.50 kg CO2e</w:t>
      </w:r>
    </w:p>
    <w:bookmarkEnd w:id="43"/>
    <w:bookmarkStart w:id="44" w:name="scope-3-end-of-life-emissions"/>
    <w:p>
      <w:pPr>
        <w:pStyle w:val="Heading3"/>
      </w:pPr>
      <w:r>
        <w:t xml:space="preserve">4.5 Scope 3: End-of-Life Emissions</w:t>
      </w:r>
    </w:p>
    <w:p>
      <w:pPr>
        <w:pStyle w:val="FirstParagraph"/>
      </w:pPr>
      <w:r>
        <w:t xml:space="preserve">Total product material weight at EoL (excluding packaging which is separate): 0.41 kg - 0.08 kg (packaging) = 0.33 kg. However, usually EoL refers to the whole product. For simplicity, we\'ll use total product weight (0.41 kg) including packaging as the input to EoL scenarios.</w:t>
      </w:r>
    </w:p>
    <w:p>
      <w:pPr>
        <w:numPr>
          <w:ilvl w:val="0"/>
          <w:numId w:val="1013"/>
        </w:numPr>
        <w:pStyle w:val="Compact"/>
      </w:pPr>
      <w:r>
        <w:t xml:space="preserve">Total Product Weight: 0.41 kg</w:t>
      </w:r>
    </w:p>
    <w:p>
      <w:pPr>
        <w:numPr>
          <w:ilvl w:val="0"/>
          <w:numId w:val="1013"/>
        </w:numPr>
        <w:pStyle w:val="Compact"/>
      </w:pPr>
      <w:r>
        <w:t xml:space="preserve">Recycled/Recovered Portion: 0.41 kg * 71.5% = 0.29315 kg (70% recycled + 1.5% recovered)</w:t>
      </w:r>
    </w:p>
    <w:p>
      <w:pPr>
        <w:numPr>
          <w:ilvl w:val="0"/>
          <w:numId w:val="1013"/>
        </w:numPr>
        <w:pStyle w:val="Compact"/>
      </w:pPr>
      <w:r>
        <w:t xml:space="preserve">Disposed Portion (Landfill): 0.41 kg * (1 - 0.715) = 0.41 kg * 0.285 = 0.11685 kg</w:t>
      </w:r>
    </w:p>
    <w:p>
      <w:pPr>
        <w:numPr>
          <w:ilvl w:val="0"/>
          <w:numId w:val="1013"/>
        </w:numPr>
        <w:pStyle w:val="Compact"/>
      </w:pPr>
      <w:r>
        <w:t xml:space="preserve">Emissions from Landfilling: 0.11685 kg * 0.1 kg CO2e/kg = 0.011685 kg CO2e</w:t>
      </w:r>
    </w:p>
    <w:p>
      <w:pPr>
        <w:pStyle w:val="FirstParagraph"/>
      </w:pPr>
      <w:r>
        <w:rPr>
          <w:bCs/>
          <w:b/>
        </w:rPr>
        <w:t xml:space="preserve">Total End-of-Life Emissions (Scope 3):</w:t>
      </w:r>
      <w:r>
        <w:t xml:space="preserve"> </w:t>
      </w:r>
      <w:r>
        <w:t xml:space="preserve">0.011685 kg CO2e</w:t>
      </w:r>
    </w:p>
    <w:bookmarkEnd w:id="44"/>
    <w:bookmarkStart w:id="47" w:name="X5c6be70cc3bfb459c9c01ed47b5731c1926e039"/>
    <w:p>
      <w:pPr>
        <w:pStyle w:val="Heading3"/>
      </w:pPr>
      <w:r>
        <w:t xml:space="preserve">4.6 Summary of Product Carbon Footprint for myesygudgq</w:t>
      </w:r>
    </w:p>
    <w:bookmarkStart w:id="45" w:name="emissions-by-scope"/>
    <w:p>
      <w:pPr>
        <w:pStyle w:val="Heading4"/>
      </w:pPr>
      <w:r>
        <w:t xml:space="preserve">Emissions by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Total CO2e (kg)</w:t>
            </w:r>
          </w:p>
        </w:tc>
        <w:tc>
          <w:tcPr/>
          <w:p>
            <w:pPr>
              <w:pStyle w:val="Compact"/>
              <w:jc w:val="left"/>
            </w:pPr>
            <w:r>
              <w:t xml:space="preserve">Notes</w:t>
            </w:r>
          </w:p>
        </w:tc>
      </w:tr>
      <w:tr>
        <w:tc>
          <w:tcPr/>
          <w:p>
            <w:pPr>
              <w:pStyle w:val="Compact"/>
              <w:jc w:val="left"/>
            </w:pPr>
            <w:r>
              <w:rPr>
                <w:bCs/>
                <w:b/>
              </w:rPr>
              <w:t xml:space="preserve">Scope 1</w:t>
            </w:r>
          </w:p>
        </w:tc>
        <w:tc>
          <w:tcPr/>
          <w:p>
            <w:pPr>
              <w:pStyle w:val="Compact"/>
              <w:jc w:val="left"/>
            </w:pPr>
            <w:r>
              <w:t xml:space="preserve">Direct Operations (negligible for PCF focus)</w:t>
            </w:r>
          </w:p>
        </w:tc>
        <w:tc>
          <w:tcPr/>
          <w:p>
            <w:pPr>
              <w:pStyle w:val="Compact"/>
              <w:jc w:val="left"/>
            </w:pPr>
            <w:r>
              <w:t xml:space="preserve">0.000</w:t>
            </w:r>
          </w:p>
        </w:tc>
        <w:tc>
          <w:tcPr/>
          <w:p>
            <w:pPr>
              <w:pStyle w:val="Compact"/>
              <w:jc w:val="left"/>
            </w:pPr>
            <w:r>
              <w:t xml:space="preserve">Assumed no significant direct process emissions for a product PCF at factory gate beyond what\'s included in energy/materials.</w:t>
            </w:r>
          </w:p>
        </w:tc>
      </w:tr>
      <w:tr>
        <w:tc>
          <w:tcPr/>
          <w:p>
            <w:pPr>
              <w:pStyle w:val="Compact"/>
              <w:jc w:val="left"/>
            </w:pPr>
            <w:r>
              <w:rPr>
                <w:bCs/>
                <w:b/>
              </w:rPr>
              <w:t xml:space="preserve">Scope 2</w:t>
            </w:r>
          </w:p>
        </w:tc>
        <w:tc>
          <w:tcPr/>
          <w:p>
            <w:pPr>
              <w:pStyle w:val="Compact"/>
              <w:jc w:val="left"/>
            </w:pPr>
            <w:r>
              <w:t xml:space="preserve">Purchased Electricity (Production)</w:t>
            </w:r>
          </w:p>
        </w:tc>
        <w:tc>
          <w:tcPr/>
          <w:p>
            <w:pPr>
              <w:pStyle w:val="Compact"/>
              <w:jc w:val="left"/>
            </w:pPr>
            <w:r>
              <w:t xml:space="preserve">3.640</w:t>
            </w:r>
          </w:p>
        </w:tc>
        <w:tc>
          <w:tcPr/>
          <w:p>
            <w:pPr>
              <w:pStyle w:val="Compact"/>
              <w:jc w:val="left"/>
            </w:pPr>
            <w:r>
              <w:t xml:space="preserve">Emissions from grid electricity for manufacturing.</w:t>
            </w:r>
          </w:p>
        </w:tc>
      </w:tr>
      <w:tr>
        <w:tc>
          <w:tcPr/>
          <w:p>
            <w:pPr>
              <w:pStyle w:val="Compact"/>
              <w:jc w:val="left"/>
            </w:pPr>
            <w:r>
              <w:rPr>
                <w:bCs/>
                <w:b/>
              </w:rPr>
              <w:t xml:space="preserve">Scope 3</w:t>
            </w:r>
          </w:p>
        </w:tc>
        <w:tc>
          <w:tcPr/>
          <w:p>
            <w:pPr>
              <w:pStyle w:val="Compact"/>
              <w:jc w:val="left"/>
            </w:pPr>
            <w:r>
              <w:t xml:space="preserve">Upstream: Materials &amp; Components</w:t>
            </w:r>
          </w:p>
        </w:tc>
        <w:tc>
          <w:tcPr/>
          <w:p>
            <w:pPr>
              <w:pStyle w:val="Compact"/>
              <w:jc w:val="left"/>
            </w:pPr>
            <w:r>
              <w:t xml:space="preserve">4.915</w:t>
            </w:r>
          </w:p>
        </w:tc>
        <w:tc>
          <w:tcPr/>
          <w:p>
            <w:pPr>
              <w:pStyle w:val="Compact"/>
              <w:jc w:val="left"/>
            </w:pPr>
            <w:r>
              <w:t xml:space="preserve">Emissions from raw material extraction and production.</w:t>
            </w:r>
          </w:p>
        </w:tc>
      </w:tr>
      <w:tr>
        <w:tc>
          <w:tcPr/>
          <w:p>
            <w:pPr>
              <w:pStyle w:val="Compact"/>
              <w:jc w:val="left"/>
            </w:pPr>
            <w:r>
              <w:rPr>
                <w:bCs/>
                <w:b/>
              </w:rPr>
              <w:t xml:space="preserve">Scope 3</w:t>
            </w:r>
          </w:p>
        </w:tc>
        <w:tc>
          <w:tcPr/>
          <w:p>
            <w:pPr>
              <w:pStyle w:val="Compact"/>
              <w:jc w:val="left"/>
            </w:pPr>
            <w:r>
              <w:t xml:space="preserve">Upstream &amp; Downstream: Transportation</w:t>
            </w:r>
          </w:p>
        </w:tc>
        <w:tc>
          <w:tcPr/>
          <w:p>
            <w:pPr>
              <w:pStyle w:val="Compact"/>
              <w:jc w:val="left"/>
            </w:pPr>
            <w:r>
              <w:t xml:space="preserve">0.084</w:t>
            </w:r>
          </w:p>
        </w:tc>
        <w:tc>
          <w:tcPr/>
          <w:p>
            <w:pPr>
              <w:pStyle w:val="Compact"/>
              <w:jc w:val="left"/>
            </w:pPr>
            <w:r>
              <w:t xml:space="preserve">Includes transport from suppliers to factory, and factory to end-consumer.</w:t>
            </w:r>
          </w:p>
        </w:tc>
      </w:tr>
      <w:tr>
        <w:tc>
          <w:tcPr/>
          <w:p>
            <w:pPr>
              <w:pStyle w:val="Compact"/>
              <w:jc w:val="left"/>
            </w:pPr>
            <w:r>
              <w:rPr>
                <w:bCs/>
                <w:b/>
              </w:rPr>
              <w:t xml:space="preserve">Scope 3</w:t>
            </w:r>
          </w:p>
        </w:tc>
        <w:tc>
          <w:tcPr/>
          <w:p>
            <w:pPr>
              <w:pStyle w:val="Compact"/>
              <w:jc w:val="left"/>
            </w:pPr>
            <w:r>
              <w:t xml:space="preserve">Downstream: Use Phase</w:t>
            </w:r>
          </w:p>
        </w:tc>
        <w:tc>
          <w:tcPr/>
          <w:p>
            <w:pPr>
              <w:pStyle w:val="Compact"/>
              <w:jc w:val="left"/>
            </w:pPr>
            <w:r>
              <w:t xml:space="preserve">4.500</w:t>
            </w:r>
          </w:p>
        </w:tc>
        <w:tc>
          <w:tcPr/>
          <w:p>
            <w:pPr>
              <w:pStyle w:val="Compact"/>
              <w:jc w:val="left"/>
            </w:pPr>
            <w:r>
              <w:t xml:space="preserve">Emissions from product energy consumption during its lifespan.</w:t>
            </w:r>
          </w:p>
        </w:tc>
      </w:tr>
      <w:tr>
        <w:tc>
          <w:tcPr/>
          <w:p>
            <w:pPr>
              <w:pStyle w:val="Compact"/>
              <w:jc w:val="left"/>
            </w:pPr>
            <w:r>
              <w:rPr>
                <w:bCs/>
                <w:b/>
              </w:rPr>
              <w:t xml:space="preserve">Scope 3</w:t>
            </w:r>
          </w:p>
        </w:tc>
        <w:tc>
          <w:tcPr/>
          <w:p>
            <w:pPr>
              <w:pStyle w:val="Compact"/>
              <w:jc w:val="left"/>
            </w:pPr>
            <w:r>
              <w:t xml:space="preserve">Downstream: End-of-Life Treatment</w:t>
            </w:r>
          </w:p>
        </w:tc>
        <w:tc>
          <w:tcPr/>
          <w:p>
            <w:pPr>
              <w:pStyle w:val="Compact"/>
              <w:jc w:val="left"/>
            </w:pPr>
            <w:r>
              <w:t xml:space="preserve">0.012</w:t>
            </w:r>
          </w:p>
        </w:tc>
        <w:tc>
          <w:tcPr/>
          <w:p>
            <w:pPr>
              <w:pStyle w:val="Compact"/>
              <w:jc w:val="left"/>
            </w:pPr>
            <w:r>
              <w:t xml:space="preserve">Emissions from landfilling non-recycled/non-recovered waste.</w:t>
            </w:r>
          </w:p>
        </w:tc>
      </w:tr>
      <w:tr>
        <w:tc>
          <w:tcPr>
            <w:gridSpan w:val="2"/>
          </w:tcPr>
          <w:p>
            <w:pPr>
              <w:pStyle w:val="Compact"/>
              <w:jc w:val="left"/>
            </w:pPr>
            <w:r>
              <w:rPr>
                <w:bCs/>
                <w:b/>
              </w:rPr>
              <w:t xml:space="preserve">TOTAL PRODUCT CARBON FOOTPRINT (kg CO2e)</w:t>
            </w:r>
          </w:p>
        </w:tc>
        <w:tc>
          <w:tcPr/>
          <w:p>
            <w:pPr>
              <w:pStyle w:val="Compact"/>
              <w:jc w:val="left"/>
            </w:pPr>
            <w:r>
              <w:rPr>
                <w:bCs/>
                <w:b/>
              </w:rPr>
              <w:t xml:space="preserve">13.151</w:t>
            </w:r>
          </w:p>
        </w:tc>
        <w:tc>
          <w:tcPr/>
          <w:p>
            <w:pPr>
              <w:pStyle w:val="Compact"/>
            </w:pPr>
          </w:p>
        </w:tc>
      </w:tr>
    </w:tbl>
    <w:bookmarkEnd w:id="45"/>
    <w:bookmarkStart w:id="46" w:name="emissions-by-lifecycle-stage"/>
    <w:p>
      <w:pPr>
        <w:pStyle w:val="Heading4"/>
      </w:pPr>
      <w:r>
        <w:t xml:space="preserve">Emissions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Total CO2e (kg)</w:t>
            </w:r>
          </w:p>
        </w:tc>
        <w:tc>
          <w:tcPr/>
          <w:p>
            <w:pPr>
              <w:pStyle w:val="Compact"/>
              <w:jc w:val="left"/>
            </w:pPr>
            <w:r>
              <w:t xml:space="preserve">Percentage of Total</w:t>
            </w:r>
          </w:p>
        </w:tc>
      </w:tr>
      <w:tr>
        <w:tc>
          <w:tcPr/>
          <w:p>
            <w:pPr>
              <w:pStyle w:val="Compact"/>
              <w:jc w:val="left"/>
            </w:pPr>
            <w:r>
              <w:t xml:space="preserve">Materials &amp; Components</w:t>
            </w:r>
          </w:p>
        </w:tc>
        <w:tc>
          <w:tcPr/>
          <w:p>
            <w:pPr>
              <w:pStyle w:val="Compact"/>
              <w:jc w:val="left"/>
            </w:pPr>
            <w:r>
              <w:t xml:space="preserve">4.915</w:t>
            </w:r>
          </w:p>
        </w:tc>
        <w:tc>
          <w:tcPr/>
          <w:p>
            <w:pPr>
              <w:pStyle w:val="Compact"/>
              <w:jc w:val="left"/>
            </w:pPr>
            <w:r>
              <w:t xml:space="preserve">37.37%</w:t>
            </w:r>
          </w:p>
        </w:tc>
      </w:tr>
      <w:tr>
        <w:tc>
          <w:tcPr/>
          <w:p>
            <w:pPr>
              <w:pStyle w:val="Compact"/>
              <w:jc w:val="left"/>
            </w:pPr>
            <w:r>
              <w:t xml:space="preserve">Production (Electricity)</w:t>
            </w:r>
          </w:p>
        </w:tc>
        <w:tc>
          <w:tcPr/>
          <w:p>
            <w:pPr>
              <w:pStyle w:val="Compact"/>
              <w:jc w:val="left"/>
            </w:pPr>
            <w:r>
              <w:t xml:space="preserve">3.640</w:t>
            </w:r>
          </w:p>
        </w:tc>
        <w:tc>
          <w:tcPr/>
          <w:p>
            <w:pPr>
              <w:pStyle w:val="Compact"/>
              <w:jc w:val="left"/>
            </w:pPr>
            <w:r>
              <w:t xml:space="preserve">27.68%</w:t>
            </w:r>
          </w:p>
        </w:tc>
      </w:tr>
      <w:tr>
        <w:tc>
          <w:tcPr/>
          <w:p>
            <w:pPr>
              <w:pStyle w:val="Compact"/>
              <w:jc w:val="left"/>
            </w:pPr>
            <w:r>
              <w:t xml:space="preserve">Transportation</w:t>
            </w:r>
          </w:p>
        </w:tc>
        <w:tc>
          <w:tcPr/>
          <w:p>
            <w:pPr>
              <w:pStyle w:val="Compact"/>
              <w:jc w:val="left"/>
            </w:pPr>
            <w:r>
              <w:t xml:space="preserve">0.084</w:t>
            </w:r>
          </w:p>
        </w:tc>
        <w:tc>
          <w:tcPr/>
          <w:p>
            <w:pPr>
              <w:pStyle w:val="Compact"/>
              <w:jc w:val="left"/>
            </w:pPr>
            <w:r>
              <w:t xml:space="preserve">0.64%</w:t>
            </w:r>
          </w:p>
        </w:tc>
      </w:tr>
      <w:tr>
        <w:tc>
          <w:tcPr/>
          <w:p>
            <w:pPr>
              <w:pStyle w:val="Compact"/>
              <w:jc w:val="left"/>
            </w:pPr>
            <w:r>
              <w:t xml:space="preserve">Use Phase</w:t>
            </w:r>
          </w:p>
        </w:tc>
        <w:tc>
          <w:tcPr/>
          <w:p>
            <w:pPr>
              <w:pStyle w:val="Compact"/>
              <w:jc w:val="left"/>
            </w:pPr>
            <w:r>
              <w:t xml:space="preserve">4.500</w:t>
            </w:r>
          </w:p>
        </w:tc>
        <w:tc>
          <w:tcPr/>
          <w:p>
            <w:pPr>
              <w:pStyle w:val="Compact"/>
              <w:jc w:val="left"/>
            </w:pPr>
            <w:r>
              <w:t xml:space="preserve">34.22%</w:t>
            </w:r>
          </w:p>
        </w:tc>
      </w:tr>
      <w:tr>
        <w:tc>
          <w:tcPr/>
          <w:p>
            <w:pPr>
              <w:pStyle w:val="Compact"/>
              <w:jc w:val="left"/>
            </w:pPr>
            <w:r>
              <w:t xml:space="preserve">End-of-Life</w:t>
            </w:r>
          </w:p>
        </w:tc>
        <w:tc>
          <w:tcPr/>
          <w:p>
            <w:pPr>
              <w:pStyle w:val="Compact"/>
              <w:jc w:val="left"/>
            </w:pPr>
            <w:r>
              <w:t xml:space="preserve">0.012</w:t>
            </w:r>
          </w:p>
        </w:tc>
        <w:tc>
          <w:tcPr/>
          <w:p>
            <w:pPr>
              <w:pStyle w:val="Compact"/>
              <w:jc w:val="left"/>
            </w:pPr>
            <w:r>
              <w:t xml:space="preserve">0.09%</w:t>
            </w:r>
          </w:p>
        </w:tc>
      </w:tr>
      <w:tr>
        <w:tc>
          <w:tcPr/>
          <w:p>
            <w:pPr>
              <w:pStyle w:val="Compact"/>
              <w:jc w:val="left"/>
            </w:pPr>
            <w:r>
              <w:rPr>
                <w:bCs/>
                <w:b/>
              </w:rPr>
              <w:t xml:space="preserve">TOTAL</w:t>
            </w:r>
          </w:p>
        </w:tc>
        <w:tc>
          <w:tcPr/>
          <w:p>
            <w:pPr>
              <w:pStyle w:val="Compact"/>
              <w:jc w:val="left"/>
            </w:pPr>
            <w:r>
              <w:rPr>
                <w:bCs/>
                <w:b/>
              </w:rPr>
              <w:t xml:space="preserve">13.151</w:t>
            </w:r>
          </w:p>
        </w:tc>
        <w:tc>
          <w:tcPr/>
          <w:p>
            <w:pPr>
              <w:pStyle w:val="Compact"/>
              <w:jc w:val="left"/>
            </w:pPr>
            <w:r>
              <w:rPr>
                <w:bCs/>
                <w:b/>
              </w:rPr>
              <w:t xml:space="preserve">100.00%</w:t>
            </w:r>
          </w:p>
        </w:tc>
      </w:tr>
    </w:tbl>
    <w:p>
      <w:r>
        <w:pict>
          <v:rect style="width:0;height:1.5pt" o:hralign="center" o:hrstd="t" o:hr="t"/>
        </w:pict>
      </w:r>
    </w:p>
    <w:bookmarkEnd w:id="46"/>
    <w:bookmarkEnd w:id="47"/>
    <w:bookmarkEnd w:id="48"/>
    <w:bookmarkStart w:id="52" w:name="review-report"/>
    <w:p>
      <w:pPr>
        <w:pStyle w:val="Heading2"/>
      </w:pPr>
      <w:r>
        <w:t xml:space="preserve">5. Review &amp; Report</w:t>
      </w:r>
    </w:p>
    <w:bookmarkStart w:id="49" w:name="hotspot-identification"/>
    <w:p>
      <w:pPr>
        <w:pStyle w:val="Heading3"/>
      </w:pPr>
      <w:r>
        <w:t xml:space="preserve">5.1 Hotspot Identification</w:t>
      </w:r>
    </w:p>
    <w:p>
      <w:pPr>
        <w:pStyle w:val="FirstParagraph"/>
      </w:pPr>
      <w:r>
        <w:t xml:space="preserve">The PCF analysis reveals the following major emission hotspots for `myesygudgq`:</w:t>
      </w:r>
    </w:p>
    <w:p>
      <w:pPr>
        <w:numPr>
          <w:ilvl w:val="0"/>
          <w:numId w:val="1014"/>
        </w:numPr>
        <w:pStyle w:val="Compact"/>
      </w:pPr>
      <w:r>
        <w:rPr>
          <w:bCs/>
          <w:b/>
        </w:rPr>
        <w:t xml:space="preserve">Materials &amp; Components (37.37%):</w:t>
      </w:r>
      <w:r>
        <w:t xml:space="preserve"> </w:t>
      </w:r>
      <w:r>
        <w:t xml:space="preserve">The upstream production of materials, particularly the Lithium-ion Battery and Semiconductor Chips, represents the largest single contributor to the product\'s carbon footprint. This highlights the high embodied energy and emissions associated with complex electronic components.</w:t>
      </w:r>
    </w:p>
    <w:p>
      <w:pPr>
        <w:numPr>
          <w:ilvl w:val="0"/>
          <w:numId w:val="1014"/>
        </w:numPr>
        <w:pStyle w:val="Compact"/>
      </w:pPr>
      <w:r>
        <w:rPr>
          <w:bCs/>
          <w:b/>
        </w:rPr>
        <w:t xml:space="preserve">Use Phase (34.22%):</w:t>
      </w:r>
      <w:r>
        <w:t xml:space="preserve"> </w:t>
      </w:r>
      <w:r>
        <w:t xml:space="preserve">The energy consumed during the product\'s 3-year lifespan is a significant hotspot, largely due to the assumed grid electricity mix.</w:t>
      </w:r>
    </w:p>
    <w:p>
      <w:pPr>
        <w:numPr>
          <w:ilvl w:val="0"/>
          <w:numId w:val="1014"/>
        </w:numPr>
        <w:pStyle w:val="Compact"/>
      </w:pPr>
      <w:r>
        <w:rPr>
          <w:bCs/>
          <w:b/>
        </w:rPr>
        <w:t xml:space="preserve">Production (Electricity) (27.68%):</w:t>
      </w:r>
      <w:r>
        <w:t xml:space="preserve"> </w:t>
      </w:r>
      <w:r>
        <w:t xml:space="preserve">Despite 40% renewable energy usage, the remaining grid electricity from China\'s grid mix contributes substantially. This indicates room for further decarbonization of manufacturing operations.</w:t>
      </w:r>
    </w:p>
    <w:p>
      <w:pPr>
        <w:numPr>
          <w:ilvl w:val="0"/>
          <w:numId w:val="1014"/>
        </w:numPr>
        <w:pStyle w:val="Compact"/>
      </w:pPr>
      <w:r>
        <w:rPr>
          <w:bCs/>
          <w:b/>
        </w:rPr>
        <w:t xml:space="preserve">Transportation (0.64%) and End-of-Life (0.09%):</w:t>
      </w:r>
      <w:r>
        <w:t xml:space="preserve"> </w:t>
      </w:r>
      <w:r>
        <w:t xml:space="preserve">These stages contribute relatively little to the overall footprint in this particular assessment, suggesting they are not the primary drivers of emissions for `myesygudgq` under the given assumptions.</w:t>
      </w:r>
    </w:p>
    <w:bookmarkEnd w:id="49"/>
    <w:bookmarkStart w:id="50" w:name="reliability-and-limitations"/>
    <w:p>
      <w:pPr>
        <w:pStyle w:val="Heading3"/>
      </w:pPr>
      <w:r>
        <w:t xml:space="preserve">5.2 Reliability and Limitations</w:t>
      </w:r>
    </w:p>
    <w:p>
      <w:pPr>
        <w:pStyle w:val="FirstParagraph"/>
      </w:pPr>
      <w:r>
        <w:t xml:space="preserve">The reliability of this report is dependent on the accuracy of the input data. Key considerations include:</w:t>
      </w:r>
    </w:p>
    <w:p>
      <w:pPr>
        <w:numPr>
          <w:ilvl w:val="0"/>
          <w:numId w:val="1015"/>
        </w:numPr>
        <w:pStyle w:val="Compact"/>
      </w:pPr>
      <w:r>
        <w:rPr>
          <w:bCs/>
          <w:b/>
        </w:rPr>
        <w:t xml:space="preserve">Placeholder Data:</w:t>
      </w:r>
      <w:r>
        <w:t xml:space="preserve"> </w:t>
      </w:r>
      <w:r>
        <w:t xml:space="preserve">Several parameters (BOM, transport distance, energy usage, lifespan, recyclability) were provided as string placeholders (`hvyvvvjt`, `lpprpgrzlm`, `peqsxtytgo`, `evmsktjstx`, `zzkdyryovy`, `dgydstmtgn`, `okqpnlohtr`, `wpqfrlftml`, `Select Mode`, `Delivery Type`). Simulated and assumed values, based on industry averages and reasonable estimates for a generic small electronic device, were used for calculation. The accuracy would significantly improve with specific primary data for these parameters.</w:t>
      </w:r>
    </w:p>
    <w:p>
      <w:pPr>
        <w:numPr>
          <w:ilvl w:val="0"/>
          <w:numId w:val="1015"/>
        </w:numPr>
        <w:pStyle w:val="Compact"/>
      </w:pPr>
      <w:r>
        <w:rPr>
          <w:bCs/>
          <w:b/>
        </w:rPr>
        <w:t xml:space="preserve">Emission Factors:</w:t>
      </w:r>
      <w:r>
        <w:t xml:space="preserve"> </w:t>
      </w:r>
      <w:r>
        <w:t xml:space="preserve">While industry-standard emission factors (Ecoinvent/DEFRA equivalents) were used, regional specificities and technology variations can influence actual emissions.</w:t>
      </w:r>
    </w:p>
    <w:p>
      <w:pPr>
        <w:numPr>
          <w:ilvl w:val="0"/>
          <w:numId w:val="1015"/>
        </w:numPr>
        <w:pStyle w:val="Compact"/>
      </w:pPr>
      <w:r>
        <w:rPr>
          <w:bCs/>
          <w:b/>
        </w:rPr>
        <w:t xml:space="preserve">System Boundary Interpretation:</w:t>
      </w:r>
      <w:r>
        <w:t xml:space="preserve"> </w:t>
      </w:r>
      <w:r>
        <w:t xml:space="preserve">The inclusion of Use Phase and End-of-Life, while beneficial for a comprehensive LCA, extends beyond a strict `factory_gate` definition. This approach was taken to meet the full requirements of the analysis.</w:t>
      </w:r>
    </w:p>
    <w:p>
      <w:pPr>
        <w:numPr>
          <w:ilvl w:val="0"/>
          <w:numId w:val="1015"/>
        </w:numPr>
        <w:pStyle w:val="Compact"/>
      </w:pPr>
      <w:r>
        <w:rPr>
          <w:bCs/>
          <w:b/>
        </w:rPr>
        <w:t xml:space="preserve">Scope 3 Coverage:</w:t>
      </w:r>
      <w:r>
        <w:t xml:space="preserve"> </w:t>
      </w:r>
      <w:r>
        <w:t xml:space="preserve">Efforts were made to achieve +95% Scope 3 coverage, as required, by including key upstream and downstream elements. However, minor Scope 3 categories may not be explicitly quantified due to data availability or materiality.</w:t>
      </w:r>
    </w:p>
    <w:bookmarkEnd w:id="50"/>
    <w:bookmarkStart w:id="51" w:name="recommendations-for-emission-reduction"/>
    <w:p>
      <w:pPr>
        <w:pStyle w:val="Heading3"/>
      </w:pPr>
      <w:r>
        <w:t xml:space="preserve">5.3 Recommendations for Emission Reduction</w:t>
      </w:r>
    </w:p>
    <w:p>
      <w:pPr>
        <w:pStyle w:val="FirstParagraph"/>
      </w:pPr>
      <w:r>
        <w:t xml:space="preserve">Based on the hotspot analysis, `sordiwhxil` can focus on the following strategies to reduce the carbon footprint of `myesygudgq`:</w:t>
      </w:r>
    </w:p>
    <w:p>
      <w:pPr>
        <w:numPr>
          <w:ilvl w:val="0"/>
          <w:numId w:val="1016"/>
        </w:numPr>
        <w:pStyle w:val="Compact"/>
      </w:pPr>
      <w:r>
        <w:rPr>
          <w:bCs/>
          <w:b/>
        </w:rPr>
        <w:t xml:space="preserve">Material Decarbonization:</w:t>
      </w:r>
    </w:p>
    <w:p>
      <w:pPr>
        <w:numPr>
          <w:ilvl w:val="1"/>
          <w:numId w:val="1017"/>
        </w:numPr>
        <w:pStyle w:val="Compact"/>
      </w:pPr>
      <w:r>
        <w:t xml:space="preserve">Research and adopt lower-carbon alternative materials for the casing, PCB, battery, and semiconductors.</w:t>
      </w:r>
    </w:p>
    <w:p>
      <w:pPr>
        <w:numPr>
          <w:ilvl w:val="1"/>
          <w:numId w:val="1017"/>
        </w:numPr>
        <w:pStyle w:val="Compact"/>
      </w:pPr>
      <w:r>
        <w:t xml:space="preserve">Engage with suppliers to encourage renewable energy use in their manufacturing processes and provide product-specific emission data.</w:t>
      </w:r>
    </w:p>
    <w:p>
      <w:pPr>
        <w:numPr>
          <w:ilvl w:val="1"/>
          <w:numId w:val="1017"/>
        </w:numPr>
        <w:pStyle w:val="Compact"/>
      </w:pPr>
      <w:r>
        <w:t xml:space="preserve">Explore options for using recycled content for high-impact materials.</w:t>
      </w:r>
    </w:p>
    <w:p>
      <w:pPr>
        <w:numPr>
          <w:ilvl w:val="0"/>
          <w:numId w:val="1016"/>
        </w:numPr>
        <w:pStyle w:val="Compact"/>
      </w:pPr>
      <w:r>
        <w:rPr>
          <w:bCs/>
          <w:b/>
        </w:rPr>
        <w:t xml:space="preserve">Production Energy Optimization:</w:t>
      </w:r>
    </w:p>
    <w:p>
      <w:pPr>
        <w:numPr>
          <w:ilvl w:val="1"/>
          <w:numId w:val="1018"/>
        </w:numPr>
        <w:pStyle w:val="Compact"/>
      </w:pPr>
      <w:r>
        <w:t xml:space="preserve">Increase the percentage of renewable energy directly procured or generated at the manufacturing facility in China (e.g., through PPAs or on-site solar).</w:t>
      </w:r>
    </w:p>
    <w:p>
      <w:pPr>
        <w:numPr>
          <w:ilvl w:val="1"/>
          <w:numId w:val="1018"/>
        </w:numPr>
        <w:pStyle w:val="Compact"/>
      </w:pPr>
      <w:r>
        <w:t xml:space="preserve">Implement energy efficiency measures within the factory to reduce overall energy intensity per unit.</w:t>
      </w:r>
    </w:p>
    <w:p>
      <w:pPr>
        <w:numPr>
          <w:ilvl w:val="0"/>
          <w:numId w:val="1016"/>
        </w:numPr>
        <w:pStyle w:val="Compact"/>
      </w:pPr>
      <w:r>
        <w:rPr>
          <w:bCs/>
          <w:b/>
        </w:rPr>
        <w:t xml:space="preserve">Use Phase Efficiency:</w:t>
      </w:r>
    </w:p>
    <w:p>
      <w:pPr>
        <w:numPr>
          <w:ilvl w:val="1"/>
          <w:numId w:val="1019"/>
        </w:numPr>
        <w:pStyle w:val="Compact"/>
      </w:pPr>
      <w:r>
        <w:t xml:space="preserve">Design `myesygudgq` for greater energy efficiency during its operational life.</w:t>
      </w:r>
    </w:p>
    <w:p>
      <w:pPr>
        <w:numPr>
          <w:ilvl w:val="1"/>
          <w:numId w:val="1019"/>
        </w:numPr>
        <w:pStyle w:val="Compact"/>
      </w:pPr>
      <w:r>
        <w:t xml:space="preserve">Provide users with clear information on efficient product usage.</w:t>
      </w:r>
    </w:p>
    <w:p>
      <w:pPr>
        <w:numPr>
          <w:ilvl w:val="1"/>
          <w:numId w:val="1019"/>
        </w:numPr>
        <w:pStyle w:val="Compact"/>
      </w:pPr>
      <w:r>
        <w:t xml:space="preserve">Explore longer product lifespans through durable design and repairability to amortize embodied emissions over more years.</w:t>
      </w:r>
    </w:p>
    <w:p>
      <w:pPr>
        <w:numPr>
          <w:ilvl w:val="0"/>
          <w:numId w:val="1016"/>
        </w:numPr>
        <w:pStyle w:val="Compact"/>
      </w:pPr>
      <w:r>
        <w:rPr>
          <w:bCs/>
          <w:b/>
        </w:rPr>
        <w:t xml:space="preserve">Circular Economy Enhancement:</w:t>
      </w:r>
    </w:p>
    <w:p>
      <w:pPr>
        <w:numPr>
          <w:ilvl w:val="1"/>
          <w:numId w:val="1020"/>
        </w:numPr>
        <w:pStyle w:val="Compact"/>
      </w:pPr>
      <w:r>
        <w:t xml:space="preserve">Further develop and promote take-back and recycling programs (`wpqfrlftml`) to maximize material recovery and minimize waste sent to landfill.</w:t>
      </w:r>
    </w:p>
    <w:p>
      <w:pPr>
        <w:numPr>
          <w:ilvl w:val="1"/>
          <w:numId w:val="1020"/>
        </w:numPr>
        <w:pStyle w:val="Compact"/>
      </w:pPr>
      <w:r>
        <w:t xml:space="preserve">Design for disassembly and material purity to improve recyclability beyond the current 70% target.</w:t>
      </w:r>
    </w:p>
    <w:p>
      <w:r>
        <w:pict>
          <v:rect style="width:0;height:1.5pt" o:hralign="center" o:hrstd="t" o:hr="t"/>
        </w:pict>
      </w:r>
    </w:p>
    <w:bookmarkEnd w:id="51"/>
    <w:bookmarkEnd w:id="52"/>
    <w:bookmarkStart w:id="53" w:name="conclusion"/>
    <w:p>
      <w:pPr>
        <w:pStyle w:val="Heading2"/>
      </w:pPr>
      <w:r>
        <w:t xml:space="preserve">Conclusion</w:t>
      </w:r>
    </w:p>
    <w:p>
      <w:pPr>
        <w:pStyle w:val="FirstParagraph"/>
      </w:pPr>
      <w:r>
        <w:t xml:space="preserve">The Product Carbon Footprint of `myesygudgq` is calculated to be</w:t>
      </w:r>
      <w:r>
        <w:t xml:space="preserve"> </w:t>
      </w:r>
      <w:r>
        <w:rPr>
          <w:bCs/>
          <w:b/>
        </w:rPr>
        <w:t xml:space="preserve">13.151 kg CO2e</w:t>
      </w:r>
      <w:r>
        <w:t xml:space="preserve"> </w:t>
      </w:r>
      <w:r>
        <w:t xml:space="preserve">per functional unit. The analysis highlights that upstream material production and the product\'s energy consumption during the use phase are the dominant contributors to its environmental impact. By focusing on decarbonizing the supply chain, enhancing manufacturing energy efficiency, and optimizing product design for reduced energy consumption and improved circularity, `sordiwhxil` has significant opportunities to reduce the environmental footprint of `myesygudgq` and demonstrate leadership in sustainability. This report serves as a foundational step for `sordiwhxil` in its journey towards more sustainable product development and adherence to advanced GHG reporting standards.</w:t>
      </w:r>
    </w:p>
    <w:p>
      <w:r>
        <w:pict>
          <v:rect style="width:0;height:1.5pt" o:hralign="center" o:hrstd="t" o:hr="t"/>
        </w:pict>
      </w:r>
    </w:p>
    <w:p>
      <w:pPr>
        <w:pStyle w:val="FirstParagraph"/>
      </w:pPr>
      <w:r>
        <w:t xml:space="preserve">Confidential - Internal Use Only</w:t>
      </w:r>
    </w:p>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myesygudgq</dc:title>
  <dc:creator/>
  <dc:description>Detailed Product Carbon Footprint (PCF) analysis for myesygudgq by sordiwhxil, adhering to GHG Protocol standards and 2026 LSR updates, prepared by omxhjvefge.</dc:description>
  <dc:language>en</dc:language>
  <cp:keywords/>
  <dcterms:created xsi:type="dcterms:W3CDTF">2026-07-15T20:41:55Z</dcterms:created>
  <dcterms:modified xsi:type="dcterms:W3CDTF">2026-07-15T20:41:55Z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