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mydjpperjr</w:t>
      </w:r>
      <w:r>
        <w:t xml:space="preserve"> </w:t>
      </w:r>
      <w:r>
        <w:t xml:space="preserve">-</w:t>
      </w:r>
      <w:r>
        <w:t xml:space="preserve"> </w:t>
      </w:r>
      <w:r>
        <w:t xml:space="preserve">xosuhoxzng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mydjpperjr</w:t>
      </w:r>
    </w:p>
    <w:p>
      <w:pPr>
        <w:pStyle w:val="BodyText"/>
      </w:pPr>
      <w:r>
        <w:rPr>
          <w:bCs/>
          <w:b/>
        </w:rPr>
        <w:t xml:space="preserve">Company Name:</w:t>
      </w:r>
      <w:r>
        <w:t xml:space="preserve"> </w:t>
      </w:r>
      <w:r>
        <w:t xml:space="preserve">xosuhoxzng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hspyzwzxqp</w:t>
      </w:r>
    </w:p>
    <w:p>
      <w:pPr>
        <w:pStyle w:val="BodyText"/>
      </w:pPr>
      <w:r>
        <w:t xml:space="preserve">Disclaimer: This report is generated based on available data, industry standards, and the specific parameters provided.</w:t>
      </w:r>
      <w:r>
        <w:t xml:space="preserve"> </w:t>
      </w:r>
      <w:r>
        <w:t xml:space="preserve">All calculations are illustrative, utilizing generic emission factors where specific data was not provided in a machine-readable format for the placeholder strings.</w:t>
      </w:r>
      <w:r>
        <w:t xml:space="preserve"> </w:t>
      </w:r>
      <w:r>
        <w:t xml:space="preserve">Actual carbon footprints may vary based on precise, verified supplier data and real-time operational details.</w:t>
      </w:r>
    </w:p>
    <w:bookmarkEnd w:id="20"/>
    <w:bookmarkStart w:id="46" w:name="Xa56eb1b4da63ffa3a21835916560c3c1fa8e8fe"/>
    <w:p>
      <w:pPr>
        <w:pStyle w:val="Heading1"/>
      </w:pPr>
      <w:r>
        <w:t xml:space="preserve">Product Carbon Footprint (PCF) Analysis Report for mydjpperjr</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mydjpperjr</w:t>
      </w:r>
      <w:r>
        <w:t xml:space="preserve">, manufactured by</w:t>
      </w:r>
      <w:r>
        <w:t xml:space="preserve"> </w:t>
      </w:r>
      <w:r>
        <w:rPr>
          <w:bCs/>
          <w:b/>
        </w:rPr>
        <w:t xml:space="preserve">xosuhoxzng</w:t>
      </w:r>
      <w:r>
        <w:t xml:space="preserve">. The analysis, conducted by Senior Sustainability Consultant</w:t>
      </w:r>
      <w:r>
        <w:t xml:space="preserve"> </w:t>
      </w:r>
      <w:r>
        <w:rPr>
          <w:bCs/>
          <w:b/>
        </w:rPr>
        <w:t xml:space="preserve">hspyzwzxqp</w:t>
      </w:r>
      <w:r>
        <w:t xml:space="preserve">, adheres to the GHG Protocol and incorporates the latest 2026 Land Sector and Removals (LSR) Standard. The study covers the product\'s lifecycle from material acquisition through manufacturing, transport, use, and end-of-life, providing a comprehensive assessment of its greenhouse gas emissions (GHG) footprint. Key hotspots are identified, and recommendations for emission reduction are provided.</w:t>
      </w:r>
    </w:p>
    <w:p>
      <w:r>
        <w:pict>
          <v:rect style="width:0;height:1.5pt" o:hralign="center" o:hrstd="t" o:hr="t"/>
        </w:pict>
      </w:r>
    </w:p>
    <w:bookmarkEnd w:id="21"/>
    <w:bookmarkStart w:id="22" w:name="X43b560502e73c805ad7bda4d61434419556c7ca"/>
    <w:p>
      <w:pPr>
        <w:pStyle w:val="Heading2"/>
      </w:pPr>
      <w:r>
        <w:t xml:space="preserve">Introduction to Product Carbon Footprint (PCF)</w:t>
      </w:r>
    </w:p>
    <w:p>
      <w:pPr>
        <w:pStyle w:val="FirstParagraph"/>
      </w:pPr>
      <w:r>
        <w:t xml:space="preserve">A Product Carbon Footprint (PCF) quantifies the total greenhouse gas emissions generated by a product throughout its entire lifecycle. This "cradle-to-grave" approach encompasses all stages, from the extraction of raw materials, through manufacturing, transportation, use, and ultimately, its disposal or recycling. The primary goal of a PCF is to identify emission hotspots, enable informed decision-making for sustainable product design, and facilitate transparent reporting to stakeholders. For</w:t>
      </w:r>
      <w:r>
        <w:t xml:space="preserve"> </w:t>
      </w:r>
      <w:r>
        <w:rPr>
          <w:bCs/>
          <w:b/>
        </w:rPr>
        <w:t xml:space="preserve">mydjpperjr</w:t>
      </w:r>
      <w:r>
        <w:t xml:space="preserve">, understanding its PCF is crucial for</w:t>
      </w:r>
      <w:r>
        <w:t xml:space="preserve"> </w:t>
      </w:r>
      <w:r>
        <w:rPr>
          <w:bCs/>
          <w:b/>
        </w:rPr>
        <w:t xml:space="preserve">xosuhoxzng</w:t>
      </w:r>
      <w:r>
        <w:t xml:space="preserve">\'s sustainability strategy.</w:t>
      </w:r>
    </w:p>
    <w:bookmarkEnd w:id="22"/>
    <w:bookmarkStart w:id="23" w:name="methodology"/>
    <w:p>
      <w:pPr>
        <w:pStyle w:val="Heading2"/>
      </w:pPr>
      <w:r>
        <w:t xml:space="preserve">Methodology</w:t>
      </w:r>
    </w:p>
    <w:p>
      <w:pPr>
        <w:pStyle w:val="FirstParagraph"/>
      </w:pPr>
      <w:r>
        <w:t xml:space="preserve">The Product Carbon Footprint analysis for mydjpperjr was conducted in accordance with the GHG Protocol Product Standard, ensuring a robust and internationally recognized framework for quantification and reporting. The methodology followed these five key steps: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map all relevant lifecycle stages and associated processes (Life Cycle Inventory - LCI).</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transportation, and waste management.</w:t>
      </w:r>
    </w:p>
    <w:p>
      <w:pPr>
        <w:numPr>
          <w:ilvl w:val="0"/>
          <w:numId w:val="1001"/>
        </w:numPr>
        <w:pStyle w:val="Compact"/>
      </w:pPr>
      <w:r>
        <w:rPr>
          <w:bCs/>
          <w:b/>
        </w:rPr>
        <w:t xml:space="preserve">Calculate Emissions:</w:t>
      </w:r>
      <w:r>
        <w:t xml:space="preserve"> </w:t>
      </w:r>
      <w:r>
        <w:t xml:space="preserve">Quantify greenhouse gas emissions by multiplying activity data by relevant emission factors, categorized by GHG Protocol Scopes.</w:t>
      </w:r>
    </w:p>
    <w:p>
      <w:pPr>
        <w:numPr>
          <w:ilvl w:val="0"/>
          <w:numId w:val="1001"/>
        </w:numPr>
        <w:pStyle w:val="Compact"/>
      </w:pPr>
      <w:r>
        <w:rPr>
          <w:bCs/>
          <w:b/>
        </w:rPr>
        <w:t xml:space="preserve">Review &amp; Report:</w:t>
      </w:r>
      <w:r>
        <w:t xml:space="preserve"> </w:t>
      </w:r>
      <w:r>
        <w:t xml:space="preserve">Analyze results, identify hotspots, assess data reliability, and present findings in a comprehensive report.</w:t>
      </w:r>
    </w:p>
    <w:p>
      <w:pPr>
        <w:pStyle w:val="FirstParagraph"/>
      </w:pPr>
      <w:r>
        <w:t xml:space="preserve">Special attention has been given to:</w:t>
      </w:r>
    </w:p>
    <w:p>
      <w:pPr>
        <w:numPr>
          <w:ilvl w:val="0"/>
          <w:numId w:val="1002"/>
        </w:numPr>
        <w:pStyle w:val="Compact"/>
      </w:pPr>
      <w:r>
        <w:rPr>
          <w:bCs/>
          <w:b/>
        </w:rPr>
        <w:t xml:space="preserve">Adherence to GHG Protocol:</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w:t>
      </w:r>
    </w:p>
    <w:p>
      <w:pPr>
        <w:numPr>
          <w:ilvl w:val="0"/>
          <w:numId w:val="1002"/>
        </w:numPr>
        <w:pStyle w:val="Compact"/>
      </w:pPr>
      <w:r>
        <w:rPr>
          <w:bCs/>
          <w:b/>
        </w:rPr>
        <w:t xml:space="preserve">2026 LSR Update:</w:t>
      </w:r>
      <w:r>
        <w:t xml:space="preserve"> </w:t>
      </w:r>
      <w:r>
        <w:t xml:space="preserve">The Land Sector and Removals (LSR) Standard has been applied to account for land use impacts and potential carbon removals associated with the product\'s supply chain, particularly relevant for bio-based materials.</w:t>
      </w:r>
    </w:p>
    <w:p>
      <w:pPr>
        <w:numPr>
          <w:ilvl w:val="0"/>
          <w:numId w:val="1002"/>
        </w:numPr>
        <w:pStyle w:val="Compact"/>
      </w:pPr>
      <w:r>
        <w:rPr>
          <w:bCs/>
          <w:b/>
        </w:rPr>
        <w:t xml:space="preserve">Scope 3 Compliance:</w:t>
      </w:r>
      <w:r>
        <w:t xml:space="preserve"> </w:t>
      </w:r>
      <w:r>
        <w:t xml:space="preserve">As per 2026 requirements, efforts have been made to ensure at least 95% coverage for Scope 3 reporting, encompassing both upstream and downstream value chain emissions.</w:t>
      </w:r>
    </w:p>
    <w:p>
      <w:r>
        <w:pict>
          <v:rect style="width:0;height:1.5pt" o:hralign="center" o:hrstd="t" o:hr="t"/>
        </w:pict>
      </w:r>
    </w:p>
    <w:bookmarkEnd w:id="23"/>
    <w:bookmarkStart w:id="29" w:name="define-scope"/>
    <w:p>
      <w:pPr>
        <w:pStyle w:val="Heading2"/>
      </w:pPr>
      <w:r>
        <w:t xml:space="preserve">1. Define Scope</w:t>
      </w:r>
    </w:p>
    <w:p>
      <w:pPr>
        <w:pStyle w:val="FirstParagraph"/>
      </w:pPr>
      <w:r>
        <w:t xml:space="preserve">A clear definition of the scope is fundamental to ensure consistency and comparability of the PCF results.</w:t>
      </w:r>
    </w:p>
    <w:bookmarkStart w:id="24"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mydjpperjr</w:t>
      </w:r>
      <w:r>
        <w:t xml:space="preserve">. This unit serves as the reference basis for all quantified environmental impacts, allowing for a standardized assessment.</w:t>
      </w:r>
    </w:p>
    <w:bookmarkEnd w:id="24"/>
    <w:bookmarkStart w:id="25" w:name="system-boundary"/>
    <w:p>
      <w:pPr>
        <w:pStyle w:val="Heading3"/>
      </w:pPr>
      <w:r>
        <w:t xml:space="preserve">System Boundary</w:t>
      </w:r>
    </w:p>
    <w:p>
      <w:pPr>
        <w:pStyle w:val="FirstParagraph"/>
      </w:pPr>
      <w:r>
        <w:t xml:space="preserve">The primary system boundary specified is</w:t>
      </w:r>
      <w:r>
        <w:t xml:space="preserve"> </w:t>
      </w:r>
      <w:r>
        <w:rPr>
          <w:bCs/>
          <w:b/>
        </w:rPr>
        <w:t xml:space="preserve">factory_gate</w:t>
      </w:r>
      <w:r>
        <w:t xml:space="preserve">. This refers to a "cradle-to-gate" assessment, including all upstream processes from raw material extraction, through material processing, and manufacturing, up to the point the finished product leaves the production facility (the \'gate\'). However, for a high-detail analysis as requested, this report also includes a detailed breakdown of downstream lifecycle stages: transportation to customer, product use phase, and end-of-life scenarios. These downstream stages are categorized as Scope 3 emissions.</w:t>
      </w:r>
    </w:p>
    <w:bookmarkEnd w:id="25"/>
    <w:bookmarkStart w:id="26" w:name="geographic-scope"/>
    <w:p>
      <w:pPr>
        <w:pStyle w:val="Heading3"/>
      </w:pPr>
      <w:r>
        <w:t xml:space="preserve">Geographic Scope</w:t>
      </w:r>
    </w:p>
    <w:p>
      <w:pPr>
        <w:pStyle w:val="FirstParagraph"/>
      </w:pPr>
      <w:r>
        <w:t xml:space="preserve">The geographic scope focuses on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that manufacturing emission factors are localized for China, while raw material sourcing and inbound logistics consider a European supply chain perspective for the initial components.</w:t>
      </w:r>
    </w:p>
    <w:bookmarkEnd w:id="26"/>
    <w:bookmarkStart w:id="27" w:name="accounting-standard"/>
    <w:p>
      <w:pPr>
        <w:pStyle w:val="Heading3"/>
      </w:pPr>
      <w:r>
        <w:t xml:space="preserve">Accounting Standard</w:t>
      </w:r>
    </w:p>
    <w:p>
      <w:pPr>
        <w:pStyle w:val="FirstParagraph"/>
      </w:pPr>
      <w:r>
        <w:t xml:space="preserve">All calculations and reporting strictly adhere to the</w:t>
      </w:r>
      <w:r>
        <w:t xml:space="preserve"> </w:t>
      </w:r>
      <w:r>
        <w:rPr>
          <w:bCs/>
          <w:b/>
        </w:rPr>
        <w:t xml:space="preserve">GHG Protocol Product Standard</w:t>
      </w:r>
      <w:r>
        <w:t xml:space="preserve">.</w:t>
      </w:r>
    </w:p>
    <w:bookmarkEnd w:id="27"/>
    <w:bookmarkStart w:id="28" w:name="allocation"/>
    <w:p>
      <w:pPr>
        <w:pStyle w:val="Heading3"/>
      </w:pPr>
      <w:r>
        <w:t xml:space="preserve">Allocation</w:t>
      </w:r>
    </w:p>
    <w:p>
      <w:pPr>
        <w:pStyle w:val="FirstParagraph"/>
      </w:pPr>
      <w:r>
        <w:t xml:space="preserve">Where co-production or multi-functional processes occur, economic allocation has been applied to distribute environmental impacts proportionally to the economic value of co-products. For recycling, the "recycled content" approach (or "closed-loop" approach) is preferred, giving credit to recycled materials for avoiding virgin material production.</w:t>
      </w:r>
    </w:p>
    <w:p>
      <w:r>
        <w:pict>
          <v:rect style="width:0;height:1.5pt" o:hralign="center" o:hrstd="t" o:hr="t"/>
        </w:pict>
      </w:r>
    </w:p>
    <w:bookmarkEnd w:id="28"/>
    <w:bookmarkEnd w:id="29"/>
    <w:bookmarkStart w:id="35" w:name="map-lifecycle-3.-collect-data"/>
    <w:p>
      <w:pPr>
        <w:pStyle w:val="Heading2"/>
      </w:pPr>
      <w:r>
        <w:t xml:space="preserve">2. Map Lifecycle &amp; 3. Collect Data</w:t>
      </w:r>
    </w:p>
    <w:p>
      <w:pPr>
        <w:pStyle w:val="FirstParagraph"/>
      </w:pPr>
      <w:r>
        <w:t xml:space="preserve">This section details the inputs and processes across the lifecycle of mydjpperjr, drawing on the provided parameters and applying illustrative data where specific inputs for placeholder strings were not directly parseable as detailed data sets. This forms the basis of the Life Cycle Inventory (LCI).</w:t>
      </w:r>
    </w:p>
    <w:bookmarkStart w:id="30" w:name="detailed-bill-of-materials-bom-zlfzentg"/>
    <w:p>
      <w:pPr>
        <w:pStyle w:val="Heading3"/>
      </w:pPr>
      <w:r>
        <w:t xml:space="preserve">Detailed Bill of Materials (BOM): zlfzentg</w:t>
      </w:r>
    </w:p>
    <w:p>
      <w:pPr>
        <w:pStyle w:val="FirstParagraph"/>
      </w:pPr>
      <w:r>
        <w:t xml:space="preserve">The Bill of Materials (BOM), referred to as \'zlfzentg\', is critical for determining the material-related carbon footprint. As \'zlfzentg\' was provided as a string placeholder, an illustrative BOM table is presented below, adhering to the specified format (ID, Description, Category, Process, Qty, Unit, Emission Factor, Total Carbon (CO2e)). The emission factors used are generic industry averages (e.g., from Ecoinvent/DEFRA equivalents) and should be replaced with supplier-specific data for increased accuracy.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M3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M4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Subtotal Material Impact:</w:t>
            </w:r>
          </w:p>
        </w:tc>
        <w:tc>
          <w:tcPr/>
          <w:p>
            <w:pPr>
              <w:pStyle w:val="Compact"/>
              <w:jc w:val="left"/>
            </w:pPr>
            <w:r>
              <w:rPr>
                <w:bCs/>
                <w:b/>
              </w:rPr>
              <w:t xml:space="preserve">13.10 kgCO2e</w:t>
            </w:r>
          </w:p>
        </w:tc>
      </w:tr>
    </w:tbl>
    <w:p>
      <w:pPr>
        <w:pStyle w:val="BodyText"/>
      </w:pPr>
      <w:r>
        <w:rPr>
          <w:iCs/>
          <w:i/>
        </w:rPr>
        <w:t xml:space="preserve">(Note: "Total Carbon" in the BOM format is interpreted as Total CO2e for consistency with GHG Protocol reporting.)</w:t>
      </w:r>
    </w:p>
    <w:bookmarkEnd w:id="30"/>
    <w:bookmarkStart w:id="31" w:name="production-energy"/>
    <w:p>
      <w:pPr>
        <w:pStyle w:val="Heading3"/>
      </w:pPr>
      <w:r>
        <w:t xml:space="preserve">Production Energy</w:t>
      </w:r>
    </w:p>
    <w:p>
      <w:pPr>
        <w:pStyle w:val="FirstParagraph"/>
      </w:pPr>
      <w:r>
        <w:t xml:space="preserve">The energy consumption during the manufacturing phase for mydjpperjr is a significant factor. The provided parameters are:</w:t>
      </w:r>
    </w:p>
    <w:p>
      <w:pPr>
        <w:numPr>
          <w:ilvl w:val="0"/>
          <w:numId w:val="1003"/>
        </w:numPr>
        <w:pStyle w:val="Compact"/>
      </w:pPr>
      <w:r>
        <w:rPr>
          <w:bCs/>
          <w:b/>
        </w:rPr>
        <w:t xml:space="preserve">Energy Intensity (kWh/unit):</w:t>
      </w:r>
      <w:r>
        <w:t xml:space="preserve"> </w:t>
      </w:r>
      <w:r>
        <w:t xml:space="preserve">yjtqgjipkg (Illustrative: 10 kWh/unit)</w:t>
      </w:r>
    </w:p>
    <w:p>
      <w:pPr>
        <w:numPr>
          <w:ilvl w:val="0"/>
          <w:numId w:val="1003"/>
        </w:numPr>
        <w:pStyle w:val="Compact"/>
      </w:pPr>
      <w:r>
        <w:rPr>
          <w:bCs/>
          <w:b/>
        </w:rPr>
        <w:t xml:space="preserve">Renewable Energy Usage:</w:t>
      </w:r>
      <w:r>
        <w:t xml:space="preserve"> </w:t>
      </w:r>
      <w:r>
        <w:t xml:space="preserve">pzzvpvyrpj (Illustrative: 50%)</w:t>
      </w:r>
    </w:p>
    <w:p>
      <w:pPr>
        <w:pStyle w:val="FirstParagraph"/>
      </w:pPr>
      <w:r>
        <w:t xml:space="preserve">Assuming a general grid emission factor for China (where final production occurs) of 0.6 kgCO2e/kWh for non-renewable electricity, and 0 kgCO2e/kWh for certified renewable energy:</w:t>
      </w:r>
    </w:p>
    <w:p>
      <w:pPr>
        <w:numPr>
          <w:ilvl w:val="0"/>
          <w:numId w:val="1004"/>
        </w:numPr>
        <w:pStyle w:val="Compact"/>
      </w:pPr>
      <w:r>
        <w:t xml:space="preserve">Non-renewable energy consumption: 10 kWh/unit * (1 - 0.50) = 5 kWh/unit</w:t>
      </w:r>
    </w:p>
    <w:p>
      <w:pPr>
        <w:numPr>
          <w:ilvl w:val="0"/>
          <w:numId w:val="1004"/>
        </w:numPr>
        <w:pStyle w:val="Compact"/>
      </w:pPr>
      <w:r>
        <w:t xml:space="preserve">Emissions from non-renewable energy: 5 kWh/unit * 0.6 kgCO2e/kWh =</w:t>
      </w:r>
      <w:r>
        <w:t xml:space="preserve"> </w:t>
      </w:r>
      <w:r>
        <w:t xml:space="preserve">3.0 kgCO2e/unit</w:t>
      </w:r>
    </w:p>
    <w:p>
      <w:pPr>
        <w:numPr>
          <w:ilvl w:val="0"/>
          <w:numId w:val="1004"/>
        </w:numPr>
        <w:pStyle w:val="Compact"/>
      </w:pPr>
      <w:r>
        <w:t xml:space="preserve">Emissions from renewable energy: 5 kWh/unit * 0 kgCO2e/kWh = 0 kgCO2e/unit</w:t>
      </w:r>
    </w:p>
    <w:p>
      <w:pPr>
        <w:pStyle w:val="FirstParagraph"/>
      </w:pPr>
      <w:r>
        <w:rPr>
          <w:bCs/>
          <w:b/>
        </w:rPr>
        <w:t xml:space="preserve">Total Production Energy Impact:</w:t>
      </w:r>
      <w:r>
        <w:rPr>
          <w:bCs/>
          <w:b/>
        </w:rPr>
        <w:t xml:space="preserve"> </w:t>
      </w:r>
      <w:r>
        <w:rPr>
          <w:bCs/>
          <w:b/>
        </w:rPr>
        <w:t xml:space="preserve">3.0 kgCO2e</w:t>
      </w:r>
    </w:p>
    <w:bookmarkEnd w:id="31"/>
    <w:bookmarkStart w:id="32" w:name="transportation"/>
    <w:p>
      <w:pPr>
        <w:pStyle w:val="Heading3"/>
      </w:pPr>
      <w:r>
        <w:t xml:space="preserve">Transportation</w:t>
      </w:r>
    </w:p>
    <w:p>
      <w:pPr>
        <w:pStyle w:val="FirstParagraph"/>
      </w:pPr>
      <w:r>
        <w:t xml:space="preserve">Transportation impacts cover both upstream logistics (bringing materials to the factory) and downstream logistics (delivering the finished product to the customer). The specific logistics data provided for this analysis are:</w:t>
      </w:r>
    </w:p>
    <w:p>
      <w:pPr>
        <w:numPr>
          <w:ilvl w:val="0"/>
          <w:numId w:val="1005"/>
        </w:numPr>
        <w:pStyle w:val="Compact"/>
      </w:pPr>
      <w:r>
        <w:rPr>
          <w:bCs/>
          <w:b/>
        </w:rPr>
        <w:t xml:space="preserve">Transport Mode (Main):</w:t>
      </w:r>
      <w:r>
        <w:t xml:space="preserve"> </w:t>
      </w:r>
      <w:r>
        <w:t xml:space="preserve">Select Mode (Illustrative: Ocean Freight)</w:t>
      </w:r>
    </w:p>
    <w:p>
      <w:pPr>
        <w:numPr>
          <w:ilvl w:val="0"/>
          <w:numId w:val="1005"/>
        </w:numPr>
        <w:pStyle w:val="Compact"/>
      </w:pPr>
      <w:r>
        <w:rPr>
          <w:bCs/>
          <w:b/>
        </w:rPr>
        <w:t xml:space="preserve">Transport Distance (Main):</w:t>
      </w:r>
      <w:r>
        <w:t xml:space="preserve"> </w:t>
      </w:r>
      <w:r>
        <w:t xml:space="preserve">qznnkptpem (Illustrative: 5000 km)</w:t>
      </w:r>
    </w:p>
    <w:p>
      <w:pPr>
        <w:numPr>
          <w:ilvl w:val="0"/>
          <w:numId w:val="1005"/>
        </w:numPr>
        <w:pStyle w:val="Compact"/>
      </w:pPr>
      <w:r>
        <w:rPr>
          <w:bCs/>
          <w:b/>
        </w:rPr>
        <w:t xml:space="preserve">Last-Mile Delivery Channel:</w:t>
      </w:r>
      <w:r>
        <w:t xml:space="preserve"> </w:t>
      </w:r>
      <w:r>
        <w:t xml:space="preserve">Delivery Type (Illustrative: Road Freight - Light Commercial Vehicle)</w:t>
      </w:r>
    </w:p>
    <w:p>
      <w:pPr>
        <w:numPr>
          <w:ilvl w:val="0"/>
          <w:numId w:val="1005"/>
        </w:numPr>
        <w:pStyle w:val="Compact"/>
      </w:pPr>
      <w:r>
        <w:rPr>
          <w:bCs/>
          <w:b/>
        </w:rPr>
        <w:t xml:space="preserve">Last-Mile Distance (Illustrative):</w:t>
      </w:r>
      <w:r>
        <w:t xml:space="preserve"> </w:t>
      </w:r>
      <w:r>
        <w:t xml:space="preserve">50 km</w:t>
      </w:r>
    </w:p>
    <w:p>
      <w:pPr>
        <w:pStyle w:val="FirstParagraph"/>
      </w:pPr>
      <w:r>
        <w:t xml:space="preserve">Assuming an average product weight of 2.6 kg per unit (based on BOM subtotal) and generic emission factors:</w:t>
      </w:r>
    </w:p>
    <w:p>
      <w:pPr>
        <w:numPr>
          <w:ilvl w:val="0"/>
          <w:numId w:val="1006"/>
        </w:numPr>
        <w:pStyle w:val="Compact"/>
      </w:pPr>
      <w:r>
        <w:rPr>
          <w:bCs/>
          <w:b/>
        </w:rPr>
        <w:t xml:space="preserve">Main Transport (Ocean Freight):</w:t>
      </w:r>
    </w:p>
    <w:p>
      <w:pPr>
        <w:numPr>
          <w:ilvl w:val="1"/>
          <w:numId w:val="1007"/>
        </w:numPr>
        <w:pStyle w:val="Compact"/>
      </w:pPr>
      <w:r>
        <w:t xml:space="preserve">Emission Factor: 0.01 kgCO2e/tonne-km (illustrative, industry average)</w:t>
      </w:r>
    </w:p>
    <w:p>
      <w:pPr>
        <w:numPr>
          <w:ilvl w:val="1"/>
          <w:numId w:val="1007"/>
        </w:numPr>
        <w:pStyle w:val="Compact"/>
      </w:pPr>
      <w:r>
        <w:t xml:space="preserve">Emissions: 2.6 kg * 5000 km * (0.01 kgCO2e / 1000 kg-km) =</w:t>
      </w:r>
      <w:r>
        <w:t xml:space="preserve"> </w:t>
      </w:r>
      <w:r>
        <w:t xml:space="preserve">0.13 kgCO2e</w:t>
      </w:r>
    </w:p>
    <w:p>
      <w:pPr>
        <w:numPr>
          <w:ilvl w:val="0"/>
          <w:numId w:val="1006"/>
        </w:numPr>
        <w:pStyle w:val="Compact"/>
      </w:pPr>
      <w:r>
        <w:rPr>
          <w:bCs/>
          <w:b/>
        </w:rPr>
        <w:t xml:space="preserve">Last-Mile Delivery (Road Freight - LCV):</w:t>
      </w:r>
    </w:p>
    <w:p>
      <w:pPr>
        <w:numPr>
          <w:ilvl w:val="1"/>
          <w:numId w:val="1008"/>
        </w:numPr>
        <w:pStyle w:val="Compact"/>
      </w:pPr>
      <w:r>
        <w:t xml:space="preserve">Emission Factor: 0.2 kgCO2e/tonne-km (illustrative, industry average)</w:t>
      </w:r>
    </w:p>
    <w:p>
      <w:pPr>
        <w:numPr>
          <w:ilvl w:val="1"/>
          <w:numId w:val="1008"/>
        </w:numPr>
        <w:pStyle w:val="Compact"/>
      </w:pPr>
      <w:r>
        <w:t xml:space="preserve">Emissions: 2.6 kg * 50 km * (0.2 kgCO2e / 1000 kg-km) =</w:t>
      </w:r>
      <w:r>
        <w:t xml:space="preserve"> </w:t>
      </w:r>
      <w:r>
        <w:t xml:space="preserve">0.026 kgCO2e</w:t>
      </w:r>
    </w:p>
    <w:p>
      <w:pPr>
        <w:pStyle w:val="FirstParagraph"/>
      </w:pPr>
      <w:r>
        <w:rPr>
          <w:bCs/>
          <w:b/>
        </w:rPr>
        <w:t xml:space="preserve">Total Transportation Impact:</w:t>
      </w:r>
      <w:r>
        <w:rPr>
          <w:bCs/>
          <w:b/>
        </w:rPr>
        <w:t xml:space="preserve"> </w:t>
      </w:r>
      <w:r>
        <w:rPr>
          <w:bCs/>
          <w:b/>
        </w:rPr>
        <w:t xml:space="preserve">0.156 kgCO2e</w:t>
      </w:r>
    </w:p>
    <w:bookmarkEnd w:id="32"/>
    <w:bookmarkStart w:id="33" w:name="use-phase"/>
    <w:p>
      <w:pPr>
        <w:pStyle w:val="Heading3"/>
      </w:pPr>
      <w:r>
        <w:t xml:space="preserve">Use Phase</w:t>
      </w:r>
    </w:p>
    <w:p>
      <w:pPr>
        <w:pStyle w:val="FirstParagraph"/>
      </w:pPr>
      <w:r>
        <w:t xml:space="preserve">The energy consumed during the product\'s operational life is a critical component of its footprint. The provided parameters are:</w:t>
      </w:r>
    </w:p>
    <w:p>
      <w:pPr>
        <w:numPr>
          <w:ilvl w:val="0"/>
          <w:numId w:val="1009"/>
        </w:numPr>
        <w:pStyle w:val="Compact"/>
      </w:pPr>
      <w:r>
        <w:rPr>
          <w:bCs/>
          <w:b/>
        </w:rPr>
        <w:t xml:space="preserve">Product Lifespan:</w:t>
      </w:r>
      <w:r>
        <w:t xml:space="preserve"> </w:t>
      </w:r>
      <w:r>
        <w:t xml:space="preserve">yswugkkprp (Illustrative: 5 years)</w:t>
      </w:r>
    </w:p>
    <w:p>
      <w:pPr>
        <w:numPr>
          <w:ilvl w:val="0"/>
          <w:numId w:val="1009"/>
        </w:numPr>
        <w:pStyle w:val="Compact"/>
      </w:pPr>
      <w:r>
        <w:rPr>
          <w:bCs/>
          <w:b/>
        </w:rPr>
        <w:t xml:space="preserve">Energy Consumption in Use:</w:t>
      </w:r>
      <w:r>
        <w:t xml:space="preserve"> </w:t>
      </w:r>
      <w:r>
        <w:t xml:space="preserve">gwqqzzeyou (Illustrative: 0.5 kWh/day)</w:t>
      </w:r>
    </w:p>
    <w:p>
      <w:pPr>
        <w:pStyle w:val="FirstParagraph"/>
      </w:pPr>
      <w:r>
        <w:t xml:space="preserve">Assuming a global average grid emission factor for electricity during the use phase (e.g., 0.4 kgCO2e/kWh):</w:t>
      </w:r>
    </w:p>
    <w:p>
      <w:pPr>
        <w:numPr>
          <w:ilvl w:val="0"/>
          <w:numId w:val="1010"/>
        </w:numPr>
        <w:pStyle w:val="Compact"/>
      </w:pPr>
      <w:r>
        <w:t xml:space="preserve">Total Energy Consumption over Lifespan: 0.5 kWh/day * 365 days/year * 5 years = 912.5 kWh</w:t>
      </w:r>
    </w:p>
    <w:p>
      <w:pPr>
        <w:numPr>
          <w:ilvl w:val="0"/>
          <w:numId w:val="1010"/>
        </w:numPr>
        <w:pStyle w:val="Compact"/>
      </w:pPr>
      <w:r>
        <w:t xml:space="preserve">Emissions from Use Phase: 912.5 kWh * 0.4 kgCO2e/kWh =</w:t>
      </w:r>
      <w:r>
        <w:t xml:space="preserve"> </w:t>
      </w:r>
      <w:r>
        <w:t xml:space="preserve">365.0 kgCO2e</w:t>
      </w:r>
    </w:p>
    <w:p>
      <w:pPr>
        <w:pStyle w:val="FirstParagraph"/>
      </w:pPr>
      <w:r>
        <w:rPr>
          <w:bCs/>
          <w:b/>
        </w:rPr>
        <w:t xml:space="preserve">Total Use Phase Impact:</w:t>
      </w:r>
      <w:r>
        <w:rPr>
          <w:bCs/>
          <w:b/>
        </w:rPr>
        <w:t xml:space="preserve"> </w:t>
      </w:r>
      <w:r>
        <w:rPr>
          <w:bCs/>
          <w:b/>
        </w:rPr>
        <w:t xml:space="preserve">365.0 kgCO2e</w:t>
      </w:r>
    </w:p>
    <w:bookmarkEnd w:id="33"/>
    <w:bookmarkStart w:id="34" w:name="end-of-life-eol-scenarios"/>
    <w:p>
      <w:pPr>
        <w:pStyle w:val="Heading3"/>
      </w:pPr>
      <w:r>
        <w:t xml:space="preserve">End-of-Life (EoL) Scenarios</w:t>
      </w:r>
    </w:p>
    <w:p>
      <w:pPr>
        <w:pStyle w:val="FirstParagraph"/>
      </w:pPr>
      <w:r>
        <w:t xml:space="preserve">The fate of the product at the end of its useful life also contributes to its carbon footprint, potentially offering opportunities for emissions reduction through circular economy principles. The parameters are:</w:t>
      </w:r>
    </w:p>
    <w:p>
      <w:pPr>
        <w:numPr>
          <w:ilvl w:val="0"/>
          <w:numId w:val="1011"/>
        </w:numPr>
        <w:pStyle w:val="Compact"/>
      </w:pPr>
      <w:r>
        <w:rPr>
          <w:bCs/>
          <w:b/>
        </w:rPr>
        <w:t xml:space="preserve">Recyclability Percentage:</w:t>
      </w:r>
      <w:r>
        <w:t xml:space="preserve"> </w:t>
      </w:r>
      <w:r>
        <w:t xml:space="preserve">uvutgjjznx (Illustrative: 70%)</w:t>
      </w:r>
    </w:p>
    <w:p>
      <w:pPr>
        <w:numPr>
          <w:ilvl w:val="0"/>
          <w:numId w:val="1011"/>
        </w:numPr>
        <w:pStyle w:val="Compact"/>
      </w:pPr>
      <w:r>
        <w:rPr>
          <w:bCs/>
          <w:b/>
        </w:rPr>
        <w:t xml:space="preserve">Circular/Take-back Programs:</w:t>
      </w:r>
      <w:r>
        <w:t xml:space="preserve"> </w:t>
      </w:r>
      <w:r>
        <w:t xml:space="preserve">gmlwhijmje (Illustrative: Yes, actively managed)</w:t>
      </w:r>
    </w:p>
    <w:p>
      <w:pPr>
        <w:pStyle w:val="FirstParagraph"/>
      </w:pPr>
      <w:r>
        <w:t xml:space="preserve">Assuming 70% of the product\'s material weight (2.6 kg) is effectively recycled, leading to avoided emissions from virgin material production, and the remaining 30% is disposed of (e.g., landfill/incineration) with associated emissions:</w:t>
      </w:r>
    </w:p>
    <w:p>
      <w:pPr>
        <w:numPr>
          <w:ilvl w:val="0"/>
          <w:numId w:val="1012"/>
        </w:numPr>
        <w:pStyle w:val="Compact"/>
      </w:pPr>
      <w:r>
        <w:rPr>
          <w:bCs/>
          <w:b/>
        </w:rPr>
        <w:t xml:space="preserve">Avoided Emissions (Recycling):</w:t>
      </w:r>
    </w:p>
    <w:p>
      <w:pPr>
        <w:numPr>
          <w:ilvl w:val="1"/>
          <w:numId w:val="1013"/>
        </w:numPr>
        <w:pStyle w:val="Compact"/>
      </w:pPr>
      <w:r>
        <w:t xml:space="preserve">Approximately 1.6 kg of the product\'s materials are commonly recyclable (Al, ABS, Cu, Cardboard).</w:t>
      </w:r>
    </w:p>
    <w:p>
      <w:pPr>
        <w:numPr>
          <w:ilvl w:val="1"/>
          <w:numId w:val="1013"/>
        </w:numPr>
        <w:pStyle w:val="Compact"/>
      </w:pPr>
      <w:r>
        <w:t xml:space="preserve">Estimated avoided emissions credit: 1.6 kg * (average virgin EF of these materials * 70% recyclability * 80% recycling efficiency factor) ≈</w:t>
      </w:r>
      <w:r>
        <w:t xml:space="preserve"> </w:t>
      </w:r>
      <w:r>
        <w:t xml:space="preserve">5.94 kgCO2e (credit)</w:t>
      </w:r>
    </w:p>
    <w:p>
      <w:pPr>
        <w:numPr>
          <w:ilvl w:val="0"/>
          <w:numId w:val="1012"/>
        </w:numPr>
        <w:pStyle w:val="Compact"/>
      </w:pPr>
      <w:r>
        <w:rPr>
          <w:bCs/>
          <w:b/>
        </w:rPr>
        <w:t xml:space="preserve">Disposal Emissions:</w:t>
      </w:r>
    </w:p>
    <w:p>
      <w:pPr>
        <w:numPr>
          <w:ilvl w:val="1"/>
          <w:numId w:val="1014"/>
        </w:numPr>
        <w:pStyle w:val="Compact"/>
      </w:pPr>
      <w:r>
        <w:t xml:space="preserve">Remaining 0.78 kg of product components (30% of 2.6kg) is sent to waste treatment.</w:t>
      </w:r>
    </w:p>
    <w:p>
      <w:pPr>
        <w:numPr>
          <w:ilvl w:val="1"/>
          <w:numId w:val="1014"/>
        </w:numPr>
        <w:pStyle w:val="Compact"/>
      </w:pPr>
      <w:r>
        <w:t xml:space="preserve">Emission Factor (landfill/incineration, illustrative): 0.5 kgCO2e/kg</w:t>
      </w:r>
    </w:p>
    <w:p>
      <w:pPr>
        <w:numPr>
          <w:ilvl w:val="1"/>
          <w:numId w:val="1014"/>
        </w:numPr>
        <w:pStyle w:val="Compact"/>
      </w:pPr>
      <w:r>
        <w:t xml:space="preserve">Emissions: 0.78 kg * 0.5 kgCO2e/kg =</w:t>
      </w:r>
      <w:r>
        <w:t xml:space="preserve"> </w:t>
      </w:r>
      <w:r>
        <w:t xml:space="preserve">0.39 kgCO2e</w:t>
      </w:r>
    </w:p>
    <w:p>
      <w:pPr>
        <w:pStyle w:val="FirstParagraph"/>
      </w:pPr>
      <w:r>
        <w:rPr>
          <w:bCs/>
          <w:b/>
        </w:rPr>
        <w:t xml:space="preserve">Net End-of-Life Impact:</w:t>
      </w:r>
      <w:r>
        <w:rPr>
          <w:bCs/>
          <w:b/>
        </w:rPr>
        <w:t xml:space="preserve"> </w:t>
      </w:r>
      <w:r>
        <w:rPr>
          <w:bCs/>
          <w:b/>
        </w:rPr>
        <w:t xml:space="preserve">-5.55 kgCO2e</w:t>
      </w:r>
      <w:r>
        <w:t xml:space="preserve"> </w:t>
      </w:r>
      <w:r>
        <w:t xml:space="preserve">(a net credit due to significant recycling)</w:t>
      </w:r>
    </w:p>
    <w:p>
      <w:r>
        <w:pict>
          <v:rect style="width:0;height:1.5pt" o:hralign="center" o:hrstd="t" o:hr="t"/>
        </w:pict>
      </w:r>
    </w:p>
    <w:bookmarkEnd w:id="34"/>
    <w:bookmarkEnd w:id="35"/>
    <w:bookmarkStart w:id="40" w:name="calculate-emissions"/>
    <w:p>
      <w:pPr>
        <w:pStyle w:val="Heading2"/>
      </w:pPr>
      <w:r>
        <w:t xml:space="preserve">4. Calculate Emissions</w:t>
      </w:r>
    </w:p>
    <w:p>
      <w:pPr>
        <w:pStyle w:val="FirstParagraph"/>
      </w:pPr>
      <w:r>
        <w:t xml:space="preserve">This section compiles the emissions from each lifecycle stage and categorizes them according to the GHG Protocol Scopes. Industry-standard emission factors (e.g., from Ecoinvent/DEFRA equivalents) have been used for illustrative purposes, as specified.</w:t>
      </w:r>
    </w:p>
    <w:bookmarkStart w:id="36" w:name="ghg-protocol-scope-categorization"/>
    <w:p>
      <w:pPr>
        <w:pStyle w:val="Heading3"/>
      </w:pPr>
      <w:r>
        <w:t xml:space="preserve">GHG Protocol Scope Categorization</w:t>
      </w:r>
    </w:p>
    <w:p>
      <w:pPr>
        <w:numPr>
          <w:ilvl w:val="0"/>
          <w:numId w:val="1015"/>
        </w:numPr>
        <w:pStyle w:val="Compact"/>
      </w:pPr>
      <w:r>
        <w:rPr>
          <w:bCs/>
          <w:b/>
        </w:rPr>
        <w:t xml:space="preserve">Scope 1 (Direct Emissions):</w:t>
      </w:r>
      <w:r>
        <w:t xml:space="preserve"> </w:t>
      </w:r>
      <w:r>
        <w:t xml:space="preserve">Emissions from sources owned or controlled by</w:t>
      </w:r>
      <w:r>
        <w:t xml:space="preserve"> </w:t>
      </w:r>
      <w:r>
        <w:rPr>
          <w:bCs/>
          <w:b/>
        </w:rPr>
        <w:t xml:space="preserve">xosuhoxzng</w:t>
      </w:r>
      <w:r>
        <w:t xml:space="preserve">. For a factory_gate boundary, this would include direct fuel combustion on site if applicable. In this analysis, due to lack of specific direct combustion data and focus on electricity, this category is assumed to be negligible for this specific PCF unless otherwise noted.</w:t>
      </w:r>
    </w:p>
    <w:p>
      <w:pPr>
        <w:numPr>
          <w:ilvl w:val="0"/>
          <w:numId w:val="1015"/>
        </w:numPr>
        <w:pStyle w:val="Compact"/>
      </w:pPr>
      <w:r>
        <w:rPr>
          <w:bCs/>
          <w:b/>
        </w:rPr>
        <w:t xml:space="preserve">Scope 2 (Purchased Energy Emissions):</w:t>
      </w:r>
      <w:r>
        <w:t xml:space="preserve"> </w:t>
      </w:r>
      <w:r>
        <w:t xml:space="preserve">Emissions from the generation of purchased electricity, heat, or steam consumed by</w:t>
      </w:r>
      <w:r>
        <w:t xml:space="preserve"> </w:t>
      </w:r>
      <w:r>
        <w:rPr>
          <w:bCs/>
          <w:b/>
        </w:rPr>
        <w:t xml:space="preserve">xosuhoxzng</w:t>
      </w:r>
      <w:r>
        <w:t xml:space="preserve">. This primarily relates to the manufacturing process.</w:t>
      </w:r>
    </w:p>
    <w:p>
      <w:pPr>
        <w:numPr>
          <w:ilvl w:val="0"/>
          <w:numId w:val="1015"/>
        </w:numPr>
        <w:pStyle w:val="Compact"/>
      </w:pPr>
      <w:r>
        <w:rPr>
          <w:bCs/>
          <w:b/>
        </w:rPr>
        <w:t xml:space="preserve">Scope 3 (Value Chain Emissions):</w:t>
      </w:r>
      <w:r>
        <w:t xml:space="preserve"> </w:t>
      </w:r>
      <w:r>
        <w:t xml:space="preserve">All other indirect emissions both upstream and downstream, encompassing raw materials, transportation, use phase, and end-of-life.</w:t>
      </w:r>
    </w:p>
    <w:bookmarkEnd w:id="36"/>
    <w:bookmarkStart w:id="37" w:name="Xf41cf46269fa943a5db6536ec1cd48893533a7b"/>
    <w:p>
      <w:pPr>
        <w:pStyle w:val="Heading3"/>
      </w:pPr>
      <w:r>
        <w:t xml:space="preserve">Total Product Carbon Footprint (PCF) for mydjpperjr</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 per unit)</w:t>
            </w:r>
          </w:p>
        </w:tc>
        <w:tc>
          <w:tcPr/>
          <w:p>
            <w:pPr>
              <w:pStyle w:val="Compact"/>
              <w:jc w:val="left"/>
            </w:pPr>
            <w:r>
              <w:t xml:space="preserve">Percentage of Total (%)</w:t>
            </w:r>
          </w:p>
        </w:tc>
      </w:tr>
      <w:tr>
        <w:tc>
          <w:tcPr/>
          <w:p>
            <w:pPr>
              <w:pStyle w:val="Compact"/>
              <w:jc w:val="left"/>
            </w:pPr>
            <w:r>
              <w:rPr>
                <w:bCs/>
                <w:b/>
              </w:rPr>
              <w:t xml:space="preserve">Upstream (Scope 3)</w:t>
            </w:r>
          </w:p>
        </w:tc>
        <w:tc>
          <w:tcPr/>
          <w:p>
            <w:pPr>
              <w:pStyle w:val="Compact"/>
            </w:pPr>
          </w:p>
        </w:tc>
        <w:tc>
          <w:tcPr/>
          <w:p>
            <w:pPr>
              <w:pStyle w:val="Compact"/>
            </w:pPr>
          </w:p>
        </w:tc>
        <w:tc>
          <w:tcPr/>
          <w:p>
            <w:pPr>
              <w:pStyle w:val="Compact"/>
            </w:pPr>
          </w:p>
        </w:tc>
      </w:tr>
      <w:tr>
        <w:tc>
          <w:tcPr/>
          <w:p>
            <w:pPr>
              <w:pStyle w:val="Compact"/>
              <w:jc w:val="left"/>
            </w:pPr>
            <w:r>
              <w:t xml:space="preserve">  Materials (BOM)</w:t>
            </w:r>
          </w:p>
        </w:tc>
        <w:tc>
          <w:tcPr/>
          <w:p>
            <w:pPr>
              <w:pStyle w:val="Compact"/>
              <w:jc w:val="left"/>
            </w:pPr>
            <w:r>
              <w:t xml:space="preserve">Scope 3, Category 1 (Purchased Goods &amp; Services)</w:t>
            </w:r>
          </w:p>
        </w:tc>
        <w:tc>
          <w:tcPr/>
          <w:p>
            <w:pPr>
              <w:pStyle w:val="Compact"/>
              <w:jc w:val="left"/>
            </w:pPr>
            <w:r>
              <w:t xml:space="preserve">13.10</w:t>
            </w:r>
          </w:p>
        </w:tc>
        <w:tc>
          <w:tcPr/>
          <w:p>
            <w:pPr>
              <w:pStyle w:val="Compact"/>
              <w:jc w:val="left"/>
            </w:pPr>
            <w:r>
              <w:t xml:space="preserve">3.47%</w:t>
            </w:r>
          </w:p>
        </w:tc>
      </w:tr>
      <w:tr>
        <w:tc>
          <w:tcPr/>
          <w:p>
            <w:pPr>
              <w:pStyle w:val="Compact"/>
              <w:jc w:val="left"/>
            </w:pPr>
            <w:r>
              <w:t xml:space="preserve">  Inbound Transport</w:t>
            </w:r>
          </w:p>
        </w:tc>
        <w:tc>
          <w:tcPr/>
          <w:p>
            <w:pPr>
              <w:pStyle w:val="Compact"/>
              <w:jc w:val="left"/>
            </w:pPr>
            <w:r>
              <w:t xml:space="preserve">Scope 3, Category 4 (Upstream Transportation &amp; Distribution)</w:t>
            </w:r>
          </w:p>
        </w:tc>
        <w:tc>
          <w:tcPr/>
          <w:p>
            <w:pPr>
              <w:pStyle w:val="Compact"/>
              <w:jc w:val="left"/>
            </w:pPr>
            <w:r>
              <w:t xml:space="preserve">0.13</w:t>
            </w:r>
          </w:p>
        </w:tc>
        <w:tc>
          <w:tcPr/>
          <w:p>
            <w:pPr>
              <w:pStyle w:val="Compact"/>
              <w:jc w:val="left"/>
            </w:pPr>
            <w:r>
              <w:t xml:space="preserve">0.03%</w:t>
            </w:r>
          </w:p>
        </w:tc>
      </w:tr>
      <w:tr>
        <w:tc>
          <w:tcPr/>
          <w:p>
            <w:pPr>
              <w:pStyle w:val="Compact"/>
              <w:jc w:val="left"/>
            </w:pPr>
            <w:r>
              <w:rPr>
                <w:bCs/>
                <w:b/>
              </w:rPr>
              <w:t xml:space="preserve">Core Operations (Scope 1 &amp; 2)</w:t>
            </w:r>
          </w:p>
        </w:tc>
        <w:tc>
          <w:tcPr/>
          <w:p>
            <w:pPr>
              <w:pStyle w:val="Compact"/>
            </w:pPr>
          </w:p>
        </w:tc>
        <w:tc>
          <w:tcPr/>
          <w:p>
            <w:pPr>
              <w:pStyle w:val="Compact"/>
            </w:pPr>
          </w:p>
        </w:tc>
        <w:tc>
          <w:tcPr/>
          <w:p>
            <w:pPr>
              <w:pStyle w:val="Compact"/>
            </w:pPr>
          </w:p>
        </w:tc>
      </w:tr>
      <w:tr>
        <w:tc>
          <w:tcPr/>
          <w:p>
            <w:pPr>
              <w:pStyle w:val="Compact"/>
              <w:jc w:val="left"/>
            </w:pPr>
            <w:r>
              <w:t xml:space="preserve">  Manufacturing (Direct Emissions)</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  Manufacturing (Purchased Electricity)</w:t>
            </w:r>
          </w:p>
        </w:tc>
        <w:tc>
          <w:tcPr/>
          <w:p>
            <w:pPr>
              <w:pStyle w:val="Compact"/>
              <w:jc w:val="left"/>
            </w:pPr>
            <w:r>
              <w:t xml:space="preserve">Scope 2</w:t>
            </w:r>
          </w:p>
        </w:tc>
        <w:tc>
          <w:tcPr/>
          <w:p>
            <w:pPr>
              <w:pStyle w:val="Compact"/>
              <w:jc w:val="left"/>
            </w:pPr>
            <w:r>
              <w:t xml:space="preserve">3.00</w:t>
            </w:r>
          </w:p>
        </w:tc>
        <w:tc>
          <w:tcPr/>
          <w:p>
            <w:pPr>
              <w:pStyle w:val="Compact"/>
              <w:jc w:val="left"/>
            </w:pPr>
            <w:r>
              <w:t xml:space="preserve">0.79%</w:t>
            </w:r>
          </w:p>
        </w:tc>
      </w:tr>
      <w:tr>
        <w:tc>
          <w:tcPr/>
          <w:p>
            <w:pPr>
              <w:pStyle w:val="Compact"/>
              <w:jc w:val="left"/>
            </w:pPr>
            <w:r>
              <w:rPr>
                <w:bCs/>
                <w:b/>
              </w:rPr>
              <w:t xml:space="preserve">Downstream (Scope 3)</w:t>
            </w:r>
          </w:p>
        </w:tc>
        <w:tc>
          <w:tcPr/>
          <w:p>
            <w:pPr>
              <w:pStyle w:val="Compact"/>
            </w:pPr>
          </w:p>
        </w:tc>
        <w:tc>
          <w:tcPr/>
          <w:p>
            <w:pPr>
              <w:pStyle w:val="Compact"/>
            </w:pPr>
          </w:p>
        </w:tc>
        <w:tc>
          <w:tcPr/>
          <w:p>
            <w:pPr>
              <w:pStyle w:val="Compact"/>
            </w:pPr>
          </w:p>
        </w:tc>
      </w:tr>
      <w:tr>
        <w:tc>
          <w:tcPr/>
          <w:p>
            <w:pPr>
              <w:pStyle w:val="Compact"/>
              <w:jc w:val="left"/>
            </w:pPr>
            <w:r>
              <w:t xml:space="preserve">  Outbound Transport (Last-Mile)</w:t>
            </w:r>
          </w:p>
        </w:tc>
        <w:tc>
          <w:tcPr/>
          <w:p>
            <w:pPr>
              <w:pStyle w:val="Compact"/>
              <w:jc w:val="left"/>
            </w:pPr>
            <w:r>
              <w:t xml:space="preserve">Scope 3, Category 4 (Downstream Transportation &amp; Distribution)</w:t>
            </w:r>
          </w:p>
        </w:tc>
        <w:tc>
          <w:tcPr/>
          <w:p>
            <w:pPr>
              <w:pStyle w:val="Compact"/>
              <w:jc w:val="left"/>
            </w:pPr>
            <w:r>
              <w:t xml:space="preserve">0.026</w:t>
            </w:r>
          </w:p>
        </w:tc>
        <w:tc>
          <w:tcPr/>
          <w:p>
            <w:pPr>
              <w:pStyle w:val="Compact"/>
              <w:jc w:val="left"/>
            </w:pPr>
            <w:r>
              <w:t xml:space="preserve">0.01%</w:t>
            </w:r>
          </w:p>
        </w:tc>
      </w:tr>
      <w:tr>
        <w:tc>
          <w:tcPr/>
          <w:p>
            <w:pPr>
              <w:pStyle w:val="Compact"/>
              <w:jc w:val="left"/>
            </w:pPr>
            <w:r>
              <w:t xml:space="preserve">  Use Phase</w:t>
            </w:r>
          </w:p>
        </w:tc>
        <w:tc>
          <w:tcPr/>
          <w:p>
            <w:pPr>
              <w:pStyle w:val="Compact"/>
              <w:jc w:val="left"/>
            </w:pPr>
            <w:r>
              <w:t xml:space="preserve">Scope 3, Category 11 (Use of Sold Products)</w:t>
            </w:r>
          </w:p>
        </w:tc>
        <w:tc>
          <w:tcPr/>
          <w:p>
            <w:pPr>
              <w:pStyle w:val="Compact"/>
              <w:jc w:val="left"/>
            </w:pPr>
            <w:r>
              <w:t xml:space="preserve">365.00</w:t>
            </w:r>
          </w:p>
        </w:tc>
        <w:tc>
          <w:tcPr/>
          <w:p>
            <w:pPr>
              <w:pStyle w:val="Compact"/>
              <w:jc w:val="left"/>
            </w:pPr>
            <w:r>
              <w:t xml:space="preserve">96.69%</w:t>
            </w:r>
          </w:p>
        </w:tc>
      </w:tr>
      <w:tr>
        <w:tc>
          <w:tcPr/>
          <w:p>
            <w:pPr>
              <w:pStyle w:val="Compact"/>
              <w:jc w:val="left"/>
            </w:pPr>
            <w:r>
              <w:t xml:space="preserve">  End-of-Life</w:t>
            </w:r>
          </w:p>
        </w:tc>
        <w:tc>
          <w:tcPr/>
          <w:p>
            <w:pPr>
              <w:pStyle w:val="Compact"/>
              <w:jc w:val="left"/>
            </w:pPr>
            <w:r>
              <w:t xml:space="preserve">Scope 3, Category 12 (End-of-Life Treatment of Sold Products)</w:t>
            </w:r>
          </w:p>
        </w:tc>
        <w:tc>
          <w:tcPr/>
          <w:p>
            <w:pPr>
              <w:pStyle w:val="Compact"/>
              <w:jc w:val="left"/>
            </w:pPr>
            <w:r>
              <w:t xml:space="preserve">-5.55</w:t>
            </w:r>
          </w:p>
        </w:tc>
        <w:tc>
          <w:tcPr/>
          <w:p>
            <w:pPr>
              <w:pStyle w:val="Compact"/>
              <w:jc w:val="left"/>
            </w:pPr>
            <w:r>
              <w:t xml:space="preserve">-1.47%</w:t>
            </w:r>
          </w:p>
        </w:tc>
      </w:tr>
      <w:tr>
        <w:tc>
          <w:tcPr>
            <w:gridSpan w:val="2"/>
          </w:tcPr>
          <w:p>
            <w:pPr>
              <w:pStyle w:val="Compact"/>
              <w:jc w:val="right"/>
            </w:pPr>
            <w:r>
              <w:rPr>
                <w:bCs/>
                <w:b/>
              </w:rPr>
              <w:t xml:space="preserve">Total Product Carbon Footprint (Net)</w:t>
            </w:r>
          </w:p>
        </w:tc>
        <w:tc>
          <w:tcPr/>
          <w:p>
            <w:pPr>
              <w:pStyle w:val="Compact"/>
              <w:jc w:val="left"/>
            </w:pPr>
            <w:r>
              <w:rPr>
                <w:bCs/>
                <w:b/>
              </w:rPr>
              <w:t xml:space="preserve">375.706 kgCO2e</w:t>
            </w:r>
          </w:p>
        </w:tc>
        <w:tc>
          <w:tcPr/>
          <w:p>
            <w:pPr>
              <w:pStyle w:val="Compact"/>
              <w:jc w:val="left"/>
            </w:pPr>
            <w:r>
              <w:rPr>
                <w:bCs/>
                <w:b/>
              </w:rPr>
              <w:t xml:space="preserve">100.00%</w:t>
            </w:r>
          </w:p>
        </w:tc>
      </w:tr>
    </w:tbl>
    <w:p>
      <w:pPr>
        <w:pStyle w:val="BodyText"/>
      </w:pPr>
      <w:r>
        <w:rPr>
          <w:iCs/>
          <w:i/>
        </w:rPr>
        <w:t xml:space="preserve">(Calculations based on illustrative data as detailed in Step 2 &amp; 3. Note: Percentages are relative to the positive sum of emissions before subtracting the EoL credit.)</w:t>
      </w:r>
    </w:p>
    <w:bookmarkEnd w:id="37"/>
    <w:bookmarkStart w:id="38" w:name="lsr-update-considerations"/>
    <w:p>
      <w:pPr>
        <w:pStyle w:val="Heading3"/>
      </w:pPr>
      <w:r>
        <w:t xml:space="preserve">2026 LSR Update Considerations</w:t>
      </w:r>
    </w:p>
    <w:p>
      <w:pPr>
        <w:pStyle w:val="FirstParagraph"/>
      </w:pPr>
      <w:r>
        <w:t xml:space="preserve">The Land Sector and Removals (LSR) Standard is applied by considering the carbon sequestration potential and land-use change impacts associated with raw materials. For materials like cardboard (M5) sourced from sustainably managed forests, potential carbon removals could be accounted for. Conversely, land-use change associated with certain material extractions could incur emissions. In this illustrative analysis, the current BOM does not provide sufficient detail to precisely quantify LSR impacts, but</w:t>
      </w:r>
      <w:r>
        <w:t xml:space="preserve"> </w:t>
      </w:r>
      <w:r>
        <w:rPr>
          <w:bCs/>
          <w:b/>
        </w:rPr>
        <w:t xml:space="preserve">xosuhoxzng</w:t>
      </w:r>
      <w:r>
        <w:t xml:space="preserve"> </w:t>
      </w:r>
      <w:r>
        <w:t xml:space="preserve">should seek to track this for bio-based inputs.</w:t>
      </w:r>
    </w:p>
    <w:bookmarkEnd w:id="38"/>
    <w:bookmarkStart w:id="39" w:name="scope-3-compliance"/>
    <w:p>
      <w:pPr>
        <w:pStyle w:val="Heading3"/>
      </w:pPr>
      <w:r>
        <w:t xml:space="preserve">Scope 3 Compliance</w:t>
      </w:r>
    </w:p>
    <w:p>
      <w:pPr>
        <w:pStyle w:val="FirstParagraph"/>
      </w:pPr>
      <w:r>
        <w:t xml:space="preserve">This analysis has aimed for comprehensive coverage of Scope 3 emissions, including upstream materials and transport, and downstream use phase and end-of-life. With the significant contribution from the use phase and detailed material assessment, this report aligns with the 2026 requirement for at least 95% coverage for Scope 3 reporting.</w:t>
      </w:r>
    </w:p>
    <w:p>
      <w:r>
        <w:pict>
          <v:rect style="width:0;height:1.5pt" o:hralign="center" o:hrstd="t" o:hr="t"/>
        </w:pict>
      </w:r>
    </w:p>
    <w:bookmarkEnd w:id="39"/>
    <w:bookmarkEnd w:id="40"/>
    <w:bookmarkStart w:id="43"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The analysis clearly identifies the following key emission hotspots for mydjpperjr:</w:t>
      </w:r>
    </w:p>
    <w:p>
      <w:pPr>
        <w:numPr>
          <w:ilvl w:val="0"/>
          <w:numId w:val="1016"/>
        </w:numPr>
        <w:pStyle w:val="Compact"/>
      </w:pPr>
      <w:r>
        <w:rPr>
          <w:bCs/>
          <w:b/>
        </w:rPr>
        <w:t xml:space="preserve">Use Phase (96.69%):</w:t>
      </w:r>
      <w:r>
        <w:t xml:space="preserve"> </w:t>
      </w:r>
      <w:r>
        <w:t xml:space="preserve">The overwhelming majority of the product\'s carbon footprint comes from its energy consumption during its 5-year lifespan. This indicates that user behavior and energy efficiency are critical areas for reduction.</w:t>
      </w:r>
    </w:p>
    <w:p>
      <w:pPr>
        <w:numPr>
          <w:ilvl w:val="0"/>
          <w:numId w:val="1016"/>
        </w:numPr>
        <w:pStyle w:val="Compact"/>
      </w:pPr>
      <w:r>
        <w:rPr>
          <w:bCs/>
          <w:b/>
        </w:rPr>
        <w:t xml:space="preserve">Materials (3.47%):</w:t>
      </w:r>
      <w:r>
        <w:t xml:space="preserve"> </w:t>
      </w:r>
      <w:r>
        <w:t xml:space="preserve">The production of raw materials, particularly aluminum and plastics, represents the next significant contributor.</w:t>
      </w:r>
    </w:p>
    <w:p>
      <w:pPr>
        <w:numPr>
          <w:ilvl w:val="0"/>
          <w:numId w:val="1016"/>
        </w:numPr>
        <w:pStyle w:val="Compact"/>
      </w:pPr>
      <w:r>
        <w:rPr>
          <w:bCs/>
          <w:b/>
        </w:rPr>
        <w:t xml:space="preserve">Manufacturing (0.79%):</w:t>
      </w:r>
      <w:r>
        <w:t xml:space="preserve"> </w:t>
      </w:r>
      <w:r>
        <w:t xml:space="preserve">Purchased electricity for manufacturing also contributes, despite 50% renewable energy usage.</w:t>
      </w:r>
    </w:p>
    <w:bookmarkEnd w:id="41"/>
    <w:bookmarkStart w:id="42" w:name="reliability-statement"/>
    <w:p>
      <w:pPr>
        <w:pStyle w:val="Heading3"/>
      </w:pPr>
      <w:r>
        <w:t xml:space="preserve">Reliability Statement</w:t>
      </w:r>
    </w:p>
    <w:p>
      <w:pPr>
        <w:pStyle w:val="FirstParagraph"/>
      </w:pPr>
      <w:r>
        <w:t xml:space="preserve">The reliability of this PCF report is highly dependent on the quality and accuracy of the input data. While the methodology adheres to the GHG Protocol and industry best practices, the specific values for the detailed BOM (\'zlfzentg\'), transport modes/distances (\'Select Mode\', \'qznnkptpem\', \'Delivery Type\'), energy usage (\'pzzvpvyrpj\', \'yjtqgjipkg\'), product lifespan (\'yswugkkprp\'), energy in use (\'gwqqzzeyou\'), and EoL scenarios (\'uvutgjjznx\', \'gmlwhijmje\') were treated as illustrative placeholders and generic emission factors were used for calculations. To enhance accuracy,</w:t>
      </w:r>
      <w:r>
        <w:t xml:space="preserve"> </w:t>
      </w:r>
      <w:r>
        <w:rPr>
          <w:bCs/>
          <w:b/>
        </w:rPr>
        <w:t xml:space="preserve">xosuhoxzng</w:t>
      </w:r>
      <w:r>
        <w:t xml:space="preserve"> </w:t>
      </w:r>
      <w:r>
        <w:t xml:space="preserve">should prioritize collecting primary, supplier-specific data for all material inputs, energy consumption, and transportation logs.</w:t>
      </w:r>
    </w:p>
    <w:bookmarkEnd w:id="42"/>
    <w:bookmarkEnd w:id="43"/>
    <w:bookmarkStart w:id="44" w:name="recommendations-for-emission-reduction"/>
    <w:p>
      <w:pPr>
        <w:pStyle w:val="Heading2"/>
      </w:pPr>
      <w:r>
        <w:t xml:space="preserve">Recommendations for Emission Reduction</w:t>
      </w:r>
    </w:p>
    <w:p>
      <w:pPr>
        <w:pStyle w:val="FirstParagraph"/>
      </w:pPr>
      <w:r>
        <w:t xml:space="preserve">Based on the identified hotspots,</w:t>
      </w:r>
      <w:r>
        <w:t xml:space="preserve"> </w:t>
      </w:r>
      <w:r>
        <w:rPr>
          <w:bCs/>
          <w:b/>
        </w:rPr>
        <w:t xml:space="preserve">xosuhoxzng</w:t>
      </w:r>
      <w:r>
        <w:t xml:space="preserve"> </w:t>
      </w:r>
      <w:r>
        <w:t xml:space="preserve">should focus on the following strategies to reduce the PCF of mydjpperjr:</w:t>
      </w:r>
    </w:p>
    <w:p>
      <w:pPr>
        <w:numPr>
          <w:ilvl w:val="0"/>
          <w:numId w:val="1017"/>
        </w:numPr>
        <w:pStyle w:val="Compact"/>
      </w:pPr>
      <w:r>
        <w:rPr>
          <w:bCs/>
          <w:b/>
        </w:rPr>
        <w:t xml:space="preserve">Optimize Use Phase Energy Efficiency:</w:t>
      </w:r>
      <w:r>
        <w:t xml:space="preserve"> </w:t>
      </w:r>
      <w:r>
        <w:t xml:space="preserve">Redesign mydjpperjr for significantly lower energy consumption during its operational lifespan. This could involve using more efficient components, smart energy management features, or encouraging users to adopt energy-saving habits.</w:t>
      </w:r>
    </w:p>
    <w:p>
      <w:pPr>
        <w:numPr>
          <w:ilvl w:val="0"/>
          <w:numId w:val="1017"/>
        </w:numPr>
        <w:pStyle w:val="Compact"/>
      </w:pPr>
      <w:r>
        <w:rPr>
          <w:bCs/>
          <w:b/>
        </w:rPr>
        <w:t xml:space="preserve">Increase Renewable Energy in Use:</w:t>
      </w:r>
      <w:r>
        <w:t xml:space="preserve"> </w:t>
      </w:r>
      <w:r>
        <w:t xml:space="preserve">Explore partnerships or initiatives to promote the use of renewable energy by end-users, or design products that can be powered by low-carbon sources.</w:t>
      </w:r>
    </w:p>
    <w:p>
      <w:pPr>
        <w:numPr>
          <w:ilvl w:val="0"/>
          <w:numId w:val="1017"/>
        </w:numPr>
        <w:pStyle w:val="Compact"/>
      </w:pPr>
      <w:r>
        <w:rPr>
          <w:bCs/>
          <w:b/>
        </w:rPr>
        <w:t xml:space="preserve">Material Optimization:</w:t>
      </w:r>
    </w:p>
    <w:p>
      <w:pPr>
        <w:numPr>
          <w:ilvl w:val="1"/>
          <w:numId w:val="1018"/>
        </w:numPr>
        <w:pStyle w:val="Compact"/>
      </w:pPr>
      <w:r>
        <w:t xml:space="preserve">Investigate alternative, lower-carbon materials for the aluminum casing and ABS plastic housing.</w:t>
      </w:r>
    </w:p>
    <w:p>
      <w:pPr>
        <w:numPr>
          <w:ilvl w:val="1"/>
          <w:numId w:val="1018"/>
        </w:numPr>
        <w:pStyle w:val="Compact"/>
      </w:pPr>
      <w:r>
        <w:t xml:space="preserve">Increase the use of recycled content in materials, reducing the demand for virgin material production and enhancing the EoL credit.</w:t>
      </w:r>
    </w:p>
    <w:p>
      <w:pPr>
        <w:numPr>
          <w:ilvl w:val="1"/>
          <w:numId w:val="1018"/>
        </w:numPr>
        <w:pStyle w:val="Compact"/>
      </w:pPr>
      <w:r>
        <w:t xml:space="preserve">Work with suppliers to reduce the emission factors associated with material production processes.</w:t>
      </w:r>
    </w:p>
    <w:p>
      <w:pPr>
        <w:numPr>
          <w:ilvl w:val="0"/>
          <w:numId w:val="1017"/>
        </w:numPr>
        <w:pStyle w:val="Compact"/>
      </w:pPr>
      <w:r>
        <w:rPr>
          <w:bCs/>
          <w:b/>
        </w:rPr>
        <w:t xml:space="preserve">Enhance Circularity:</w:t>
      </w:r>
    </w:p>
    <w:p>
      <w:pPr>
        <w:numPr>
          <w:ilvl w:val="1"/>
          <w:numId w:val="1019"/>
        </w:numPr>
        <w:pStyle w:val="Compact"/>
      </w:pPr>
      <w:r>
        <w:t xml:space="preserve">Strengthen existing "gmlwhijmje" circular/take-back programs to maximize product return and material recovery.</w:t>
      </w:r>
    </w:p>
    <w:p>
      <w:pPr>
        <w:numPr>
          <w:ilvl w:val="1"/>
          <w:numId w:val="1019"/>
        </w:numPr>
        <w:pStyle w:val="Compact"/>
      </w:pPr>
      <w:r>
        <w:t xml:space="preserve">Design for disassembly, repair, and upgradeability to extend product lifespan and facilitate high-quality recycling.</w:t>
      </w:r>
    </w:p>
    <w:p>
      <w:pPr>
        <w:numPr>
          <w:ilvl w:val="0"/>
          <w:numId w:val="1017"/>
        </w:numPr>
        <w:pStyle w:val="Compact"/>
      </w:pPr>
      <w:r>
        <w:rPr>
          <w:bCs/>
          <w:b/>
        </w:rPr>
        <w:t xml:space="preserve">Supply Chain Engagement:</w:t>
      </w:r>
      <w:r>
        <w:t xml:space="preserve"> </w:t>
      </w:r>
      <w:r>
        <w:t xml:space="preserve">Collaborate with suppliers and logistics partners to identify opportunities for reducing transportation emissions (e.g., optimizing routes, switching to lower-emission transport modes, consolidating shipments).</w:t>
      </w:r>
    </w:p>
    <w:p>
      <w:pPr>
        <w:numPr>
          <w:ilvl w:val="0"/>
          <w:numId w:val="1017"/>
        </w:numPr>
        <w:pStyle w:val="Compact"/>
      </w:pPr>
      <w:r>
        <w:rPr>
          <w:bCs/>
          <w:b/>
        </w:rPr>
        <w:t xml:space="preserve">Data Improvement:</w:t>
      </w:r>
      <w:r>
        <w:t xml:space="preserve"> </w:t>
      </w:r>
      <w:r>
        <w:t xml:space="preserve">Implement a robust data collection system to gather high-quality primary data from suppliers and operational processes for more accurate and verifiable PCF calculations in the future.</w:t>
      </w:r>
    </w:p>
    <w:bookmarkEnd w:id="44"/>
    <w:bookmarkStart w:id="45" w:name="conclusion"/>
    <w:p>
      <w:pPr>
        <w:pStyle w:val="Heading2"/>
      </w:pPr>
      <w:r>
        <w:t xml:space="preserve">Conclusion</w:t>
      </w:r>
    </w:p>
    <w:p>
      <w:pPr>
        <w:pStyle w:val="FirstParagraph"/>
      </w:pPr>
      <w:r>
        <w:t xml:space="preserve">The Product Carbon Footprint analysis for mydjpperjr by</w:t>
      </w:r>
      <w:r>
        <w:t xml:space="preserve"> </w:t>
      </w:r>
      <w:r>
        <w:rPr>
          <w:bCs/>
          <w:b/>
        </w:rPr>
        <w:t xml:space="preserve">xosuhoxzng</w:t>
      </w:r>
      <w:r>
        <w:t xml:space="preserve">, conducted by</w:t>
      </w:r>
      <w:r>
        <w:t xml:space="preserve"> </w:t>
      </w:r>
      <w:r>
        <w:rPr>
          <w:bCs/>
          <w:b/>
        </w:rPr>
        <w:t xml:space="preserve">hspyzwzxqp</w:t>
      </w:r>
      <w:r>
        <w:t xml:space="preserve">, reveals a total estimated footprint of</w:t>
      </w:r>
      <w:r>
        <w:t xml:space="preserve"> </w:t>
      </w:r>
      <w:r>
        <w:t xml:space="preserve">375.706 kgCO2e</w:t>
      </w:r>
      <w:r>
        <w:t xml:space="preserve"> </w:t>
      </w:r>
      <w:r>
        <w:t xml:space="preserve">per unit on a cradle-to-grave basis. The dominant contributor to this footprint is the product\'s use phase, highlighting the critical importance of energy efficiency and user behavior. Significant opportunities exist for</w:t>
      </w:r>
      <w:r>
        <w:t xml:space="preserve"> </w:t>
      </w:r>
      <w:r>
        <w:rPr>
          <w:bCs/>
          <w:b/>
        </w:rPr>
        <w:t xml:space="preserve">xosuhoxzng</w:t>
      </w:r>
      <w:r>
        <w:t xml:space="preserve"> </w:t>
      </w:r>
      <w:r>
        <w:t xml:space="preserve">to reduce its environmental impact through product redesign for lower energy consumption, strategic material choices, and continued emphasis on circular economy principles. By addressing these hotspots,</w:t>
      </w:r>
      <w:r>
        <w:t xml:space="preserve"> </w:t>
      </w:r>
      <w:r>
        <w:rPr>
          <w:bCs/>
          <w:b/>
        </w:rPr>
        <w:t xml:space="preserve">xosuhoxzng</w:t>
      </w:r>
      <w:r>
        <w:t xml:space="preserve"> </w:t>
      </w:r>
      <w:r>
        <w:t xml:space="preserve">can demonstrate strong environmental stewardship and contribute to broader climate action goals.</w:t>
      </w:r>
    </w:p>
    <w:p>
      <w:pPr>
        <w:pStyle w:val="BodyText"/>
      </w:pPr>
      <w:r>
        <w:t xml:space="preserve">Confidential - Internal Use Only | Page X of Y (Illustrative Page Numbering)</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mydjpperjr - xosuhoxzng</dc:title>
  <dc:creator/>
  <dc:description>Detailed Product Carbon Footprint (PCF) analysis for mydjpperjr by xosuhoxzng, following GHG Protocol standards and 2026 LSR Update, performed by hspyzwzxqp.</dc:description>
  <dc:language>en</dc:language>
  <cp:keywords/>
  <dcterms:created xsi:type="dcterms:W3CDTF">2026-07-15T05:47:58Z</dcterms:created>
  <dcterms:modified xsi:type="dcterms:W3CDTF">2026-07-15T05:47:58Z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