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myddtwxwwz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myddtwxwwz</w:t>
      </w:r>
    </w:p>
    <w:p>
      <w:pPr>
        <w:pStyle w:val="BodyText"/>
      </w:pPr>
      <w:r>
        <w:rPr>
          <w:bCs/>
          <w:b/>
        </w:rPr>
        <w:t xml:space="preserve">Company:</w:t>
      </w:r>
      <w:r>
        <w:t xml:space="preserve"> </w:t>
      </w:r>
      <w:r>
        <w:t xml:space="preserve">tqoyerqyjd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kjigishyee</w:t>
      </w:r>
    </w:p>
    <w:p>
      <w:pPr>
        <w:pStyle w:val="BodyText"/>
      </w:pPr>
      <w:r>
        <w:rPr>
          <w:iCs/>
          <w:i/>
        </w:rPr>
        <w:t xml:space="preserve">Disclaimer: This report is generated based on available data and industry standards.</w:t>
      </w:r>
      <w:r>
        <w:rPr>
          <w:iCs/>
          <w:i/>
        </w:rPr>
        <w:t xml:space="preserve"> </w:t>
      </w:r>
      <w:r>
        <w:rPr>
          <w:iCs/>
          <w:i/>
        </w:rPr>
        <w:t xml:space="preserve">Illustrative data has been used for specific parameters where real-world values were not provided,</w:t>
      </w:r>
      <w:r>
        <w:rPr>
          <w:iCs/>
          <w:i/>
        </w:rPr>
        <w:t xml:space="preserve"> </w:t>
      </w:r>
      <w:r>
        <w:rPr>
          <w:iCs/>
          <w:i/>
        </w:rPr>
        <w:t xml:space="preserve">but the methodology adheres strictly to the specified requirements.</w:t>
      </w:r>
    </w:p>
    <w:bookmarkEnd w:id="20"/>
    <w:bookmarkStart w:id="21" w:name="X0f0f57c65e70dbf6b36edcc8802d91ea5a89e57"/>
    <w:p>
      <w:pPr>
        <w:pStyle w:val="Heading1"/>
      </w:pPr>
      <w:r>
        <w:t xml:space="preserve">Product Carbon Footprint Analysis Report for myddtwxwwz</w:t>
      </w:r>
    </w:p>
    <w:p>
      <w:pPr>
        <w:pStyle w:val="FirstParagraph"/>
      </w:pPr>
      <w:r>
        <w:t xml:space="preserve">Generated Date: May 31,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\'myddtwxwwz\', manufactured by tqoyerqyjd.</w:t>
      </w:r>
      <w:r>
        <w:t xml:space="preserve"> </w:t>
      </w:r>
      <w:r>
        <w:t xml:space="preserve">The analysis was conducted by kjigishyee, Senior Sustainability Consultant, adhering to the GHG Protocol.</w:t>
      </w:r>
      <w:r>
        <w:t xml:space="preserve"> </w:t>
      </w:r>
      <w:r>
        <w:t xml:space="preserve">The primary system boundary for the PCF calculation is \'factory_gate\', with a functional unit of 1.0 unit.</w:t>
      </w:r>
      <w:r>
        <w:t xml:space="preserve"> </w:t>
      </w:r>
      <w:r>
        <w:t xml:space="preserve">Downstream Scope 3 emissions, including Use Phase and End-of-Life, have been comprehensively analyzed to ensure</w:t>
      </w:r>
      <w:r>
        <w:t xml:space="preserve"> </w:t>
      </w:r>
      <w:r>
        <w:t xml:space="preserve">over 95% coverage as per 2026 GHG Protocol requirements. The Land Sector and Removals (LSR) Standard has also been applied.</w:t>
      </w:r>
      <w:r>
        <w:t xml:space="preserve"> </w:t>
      </w:r>
      <w:r>
        <w:t xml:space="preserve">The total cradle-to-grave equivalent carbon footprint for one unit of myddtwxwwz, factoring in all scopes, is approximately 136.65 kg CO2e.</w:t>
      </w:r>
    </w:p>
    <w:p>
      <w:r>
        <w:pict>
          <v:rect style="width:0;height:1.5pt" o:hralign="center" o:hrstd="t" o:hr="t"/>
        </w:pict>
      </w:r>
    </w:p>
    <w:bookmarkEnd w:id="22"/>
    <w:bookmarkStart w:id="30" w:name="methodology"/>
    <w:p>
      <w:pPr>
        <w:pStyle w:val="Heading2"/>
      </w:pPr>
      <w:r>
        <w:t xml:space="preserve">2. Methodology</w:t>
      </w:r>
    </w:p>
    <w:p>
      <w:pPr>
        <w:pStyle w:val="FirstParagraph"/>
      </w:pPr>
      <w:r>
        <w:t xml:space="preserve">The PCF analysis followed the five-step methodology as prescribed by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myddtwxwwz.</w:t>
      </w:r>
    </w:p>
    <w:p>
      <w:pPr>
        <w:numPr>
          <w:ilvl w:val="0"/>
          <w:numId w:val="1001"/>
        </w:numPr>
        <w:pStyle w:val="Compact"/>
      </w:pPr>
      <w:r>
        <w:rPr>
          <w:bCs/>
          <w:b/>
        </w:rPr>
        <w:t xml:space="preserve">System Boundary:</w:t>
      </w:r>
      <w:r>
        <w:t xml:space="preserve"> </w:t>
      </w:r>
      <w:r>
        <w:t xml:space="preserve">The primary system boundary for the direct PCF calculation is \'factory_gate\' (cradle-to-gate), encompassing raw material acquisition, pre-processing, manufacturing, and inbound transportation up to the point the product leaves the factory. However, to meet comprehensive GHG Protocol reporting requirements and achieve high Scope 3 coverage, downstream lifecycle stages (transport to customer, use phase, and end-of-life) are also quantified and reported as Scope 3 emissions.</w:t>
      </w:r>
    </w:p>
    <w:p>
      <w:pPr>
        <w:numPr>
          <w:ilvl w:val="0"/>
          <w:numId w:val="1001"/>
        </w:numPr>
        <w:pStyle w:val="Compact"/>
      </w:pPr>
      <w:r>
        <w:rPr>
          <w:bCs/>
          <w:b/>
        </w:rPr>
        <w:t xml:space="preserve">Geographic Scope:</w:t>
      </w:r>
      <w:r>
        <w:t xml:space="preserve"> </w:t>
      </w:r>
      <w:r>
        <w:t xml:space="preserve">Final Production Country: China, with a Supply Chain Focus on Europe for downstream distribution and use.</w:t>
      </w:r>
    </w:p>
    <w:p>
      <w:pPr>
        <w:numPr>
          <w:ilvl w:val="0"/>
          <w:numId w:val="1001"/>
        </w:numPr>
        <w:pStyle w:val="Compact"/>
      </w:pPr>
      <w:r>
        <w:rPr>
          <w:bCs/>
          <w:b/>
        </w:rPr>
        <w:t xml:space="preserve">Allocation:</w:t>
      </w:r>
      <w:r>
        <w:t xml:space="preserve"> </w:t>
      </w:r>
      <w:r>
        <w:t xml:space="preserve">Given the focus on a single product\'s footprint, direct allocation methods are applied. No significant co-products requiring complex allocation rules were identified for this specific product.</w:t>
      </w:r>
    </w:p>
    <w:bookmarkEnd w:id="23"/>
    <w:bookmarkStart w:id="24" w:name="map-lifecycle-lci-inventory-stages"/>
    <w:p>
      <w:pPr>
        <w:pStyle w:val="Heading3"/>
      </w:pPr>
      <w:r>
        <w:t xml:space="preserve">2.2. Map Lifecycle (LCI Inventory Stages)</w:t>
      </w:r>
    </w:p>
    <w:p>
      <w:pPr>
        <w:pStyle w:val="FirstParagraph"/>
      </w:pPr>
      <w:r>
        <w:t xml:space="preserve">The lifecycle of myddtwxwwz was mapped to identify all relevant stages for inventory data collection:</w:t>
      </w:r>
    </w:p>
    <w:p>
      <w:pPr>
        <w:numPr>
          <w:ilvl w:val="0"/>
          <w:numId w:val="1002"/>
        </w:numPr>
        <w:pStyle w:val="Compact"/>
      </w:pPr>
      <w:r>
        <w:rPr>
          <w:bCs/>
          <w:b/>
        </w:rPr>
        <w:t xml:space="preserve">Raw Material Acquisition &amp; Pre-processing:</w:t>
      </w:r>
      <w:r>
        <w:t xml:space="preserve"> </w:t>
      </w:r>
      <w:r>
        <w:t xml:space="preserve">Extraction, processing, and production of all materials listed in the Bill of Materials (BOM).</w:t>
      </w:r>
    </w:p>
    <w:p>
      <w:pPr>
        <w:numPr>
          <w:ilvl w:val="0"/>
          <w:numId w:val="1002"/>
        </w:numPr>
        <w:pStyle w:val="Compact"/>
      </w:pPr>
      <w:r>
        <w:rPr>
          <w:bCs/>
          <w:b/>
        </w:rPr>
        <w:t xml:space="preserve">Manufacturing/Production:</w:t>
      </w:r>
      <w:r>
        <w:t xml:space="preserve"> </w:t>
      </w:r>
      <w:r>
        <w:t xml:space="preserve">Energy consumption and direct emissions during the assembly and manufacturing processes in China.</w:t>
      </w:r>
    </w:p>
    <w:p>
      <w:pPr>
        <w:numPr>
          <w:ilvl w:val="0"/>
          <w:numId w:val="1002"/>
        </w:numPr>
        <w:pStyle w:val="Compact"/>
      </w:pPr>
      <w:r>
        <w:rPr>
          <w:bCs/>
          <w:b/>
        </w:rPr>
        <w:t xml:space="preserve">Transportation (Inbound Logistics):</w:t>
      </w:r>
      <w:r>
        <w:t xml:space="preserve"> </w:t>
      </w:r>
      <w:r>
        <w:t xml:space="preserve">Transport of raw materials and components to the manufacturing facility.</w:t>
      </w:r>
    </w:p>
    <w:p>
      <w:pPr>
        <w:numPr>
          <w:ilvl w:val="0"/>
          <w:numId w:val="1002"/>
        </w:numPr>
        <w:pStyle w:val="Compact"/>
      </w:pPr>
      <w:r>
        <w:rPr>
          <w:bCs/>
          <w:b/>
        </w:rPr>
        <w:t xml:space="preserve">Transportation (Outbound/Last-Mile Delivery):</w:t>
      </w:r>
      <w:r>
        <w:t xml:space="preserve"> </w:t>
      </w:r>
      <w:r>
        <w:t xml:space="preserve">Transport of the finished product from the factory to the end-customer.</w:t>
      </w:r>
    </w:p>
    <w:p>
      <w:pPr>
        <w:numPr>
          <w:ilvl w:val="0"/>
          <w:numId w:val="1002"/>
        </w:numPr>
        <w:pStyle w:val="Compact"/>
      </w:pPr>
      <w:r>
        <w:rPr>
          <w:bCs/>
          <w:b/>
        </w:rPr>
        <w:t xml:space="preserve">Use Phase:</w:t>
      </w:r>
      <w:r>
        <w:t xml:space="preserve"> </w:t>
      </w:r>
      <w:r>
        <w:t xml:space="preserve">Energy consumption by the product during its lifespan by the end-user.</w:t>
      </w:r>
    </w:p>
    <w:p>
      <w:pPr>
        <w:numPr>
          <w:ilvl w:val="0"/>
          <w:numId w:val="1002"/>
        </w:numPr>
        <w:pStyle w:val="Compact"/>
      </w:pPr>
      <w:r>
        <w:rPr>
          <w:bCs/>
          <w:b/>
        </w:rPr>
        <w:t xml:space="preserve">End-of-Life (EoL):</w:t>
      </w:r>
      <w:r>
        <w:t xml:space="preserve"> </w:t>
      </w:r>
      <w:r>
        <w:t xml:space="preserve">Impacts associated with the product\'s disposal, recycling, or participation in circular economy programs.</w:t>
      </w:r>
    </w:p>
    <w:bookmarkEnd w:id="24"/>
    <w:bookmarkStart w:id="29" w:name="Xb57f50a89bf1f3f1837369be949d9d60d6c1272"/>
    <w:p>
      <w:pPr>
        <w:pStyle w:val="Heading3"/>
      </w:pPr>
      <w:r>
        <w:t xml:space="preserve">2.3. Collect Data (Primary/Secondary Data Points)</w:t>
      </w:r>
    </w:p>
    <w:p>
      <w:pPr>
        <w:pStyle w:val="FirstParagraph"/>
      </w:pPr>
      <w:r>
        <w:t xml:space="preserve">Data collection involved utilizing both primary company-specific data and secondary, industry-average emission factors.</w:t>
      </w:r>
    </w:p>
    <w:bookmarkStart w:id="25" w:name="Xba24b8e27ad7267543cbb1260e82112c8f699f0"/>
    <w:p>
      <w:pPr>
        <w:pStyle w:val="Heading4"/>
      </w:pPr>
      <w:r>
        <w:t xml:space="preserve">2.3.1. Detailed Bill of Materials (BOM) for jhrmshdq</w:t>
      </w:r>
    </w:p>
    <w:p>
      <w:pPr>
        <w:pStyle w:val="FirstParagraph"/>
      </w:pPr>
      <w:r>
        <w:t xml:space="preserve">The following Bill of Materials (BOM) was used for high-accuracy material impact calculation. The values presented below are illustrative, reflecting the structure and type of data represented by \'jhrmshdq\' as specified in the parameters. These form a significant part of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P01</w:t>
            </w:r>
          </w:p>
        </w:tc>
        <w:tc>
          <w:tcPr/>
          <w:p>
            <w:pPr>
              <w:pStyle w:val="Compact"/>
              <w:jc w:val="left"/>
            </w:pPr>
            <w:r>
              <w:t xml:space="preserve">ABS Plastic Cover</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P02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t xml:space="preserve">Subtotal Material Impacts (kg CO2e):</w:t>
            </w:r>
          </w:p>
        </w:tc>
        <w:tc>
          <w:tcPr/>
          <w:p>
            <w:pPr>
              <w:pStyle w:val="Compact"/>
              <w:jc w:val="left"/>
            </w:pPr>
            <w:r>
              <w:rPr>
                <w:bCs/>
                <w:b/>
              </w:rPr>
              <w:t xml:space="preserve">9.06</w:t>
            </w:r>
          </w:p>
        </w:tc>
      </w:tr>
    </w:tbl>
    <w:bookmarkEnd w:id="25"/>
    <w:bookmarkStart w:id="26" w:name="energy-and-logistics-data"/>
    <w:p>
      <w:pPr>
        <w:pStyle w:val="Heading4"/>
      </w:pPr>
      <w:r>
        <w:t xml:space="preserve">2.3.2. Energy and Logistics Data</w:t>
      </w:r>
    </w:p>
    <w:p>
      <w:pPr>
        <w:pStyle w:val="FirstParagraph"/>
      </w:pPr>
      <w:r>
        <w:t xml:space="preserve">Customized data points were utilized for production energy and transportation:</w:t>
      </w:r>
    </w:p>
    <w:p>
      <w:pPr>
        <w:numPr>
          <w:ilvl w:val="0"/>
          <w:numId w:val="1003"/>
        </w:numPr>
        <w:pStyle w:val="Compact"/>
      </w:pPr>
      <w:r>
        <w:rPr>
          <w:bCs/>
          <w:b/>
        </w:rPr>
        <w:t xml:space="preserve">Production Energy Intensity:</w:t>
      </w:r>
      <w:r>
        <w:t xml:space="preserve"> </w:t>
      </w:r>
      <w:r>
        <w:t xml:space="preserve">xjdtdpjtkl (illustrative: 15 kWh/unit)</w:t>
      </w:r>
    </w:p>
    <w:p>
      <w:pPr>
        <w:numPr>
          <w:ilvl w:val="0"/>
          <w:numId w:val="1003"/>
        </w:numPr>
        <w:pStyle w:val="Compact"/>
      </w:pPr>
      <w:r>
        <w:rPr>
          <w:bCs/>
          <w:b/>
        </w:rPr>
        <w:t xml:space="preserve">Renewable Energy Usage (Production):</w:t>
      </w:r>
      <w:r>
        <w:t xml:space="preserve"> </w:t>
      </w:r>
      <w:r>
        <w:t xml:space="preserve">tegsteqkum (illustrative: 75% of total production energy)</w:t>
      </w:r>
    </w:p>
    <w:p>
      <w:pPr>
        <w:numPr>
          <w:ilvl w:val="0"/>
          <w:numId w:val="1003"/>
        </w:numPr>
        <w:pStyle w:val="Compact"/>
      </w:pPr>
      <w:r>
        <w:rPr>
          <w:bCs/>
          <w:b/>
        </w:rPr>
        <w:t xml:space="preserve">Transport Mode (Inbound):</w:t>
      </w:r>
      <w:r>
        <w:t xml:space="preserve"> </w:t>
      </w:r>
      <w:r>
        <w:t xml:space="preserve">Select Mode (illustrative: Road freight, heavy duty truck)</w:t>
      </w:r>
    </w:p>
    <w:p>
      <w:pPr>
        <w:numPr>
          <w:ilvl w:val="0"/>
          <w:numId w:val="1003"/>
        </w:numPr>
        <w:pStyle w:val="Compact"/>
      </w:pPr>
      <w:r>
        <w:rPr>
          <w:bCs/>
          <w:b/>
        </w:rPr>
        <w:t xml:space="preserve">Transport Distance (Inbound):</w:t>
      </w:r>
      <w:r>
        <w:t xml:space="preserve"> </w:t>
      </w:r>
      <w:r>
        <w:t xml:space="preserve">vmzsqneuds (illustrative: 1500 km)</w:t>
      </w:r>
    </w:p>
    <w:p>
      <w:pPr>
        <w:numPr>
          <w:ilvl w:val="0"/>
          <w:numId w:val="1003"/>
        </w:numPr>
        <w:pStyle w:val="Compact"/>
      </w:pPr>
      <w:r>
        <w:rPr>
          <w:bCs/>
          <w:b/>
        </w:rPr>
        <w:t xml:space="preserve">Last-Mile Delivery Channel:</w:t>
      </w:r>
      <w:r>
        <w:t xml:space="preserve"> </w:t>
      </w:r>
      <w:r>
        <w:t xml:space="preserve">Delivery Type (illustrative: Van delivery)</w:t>
      </w:r>
    </w:p>
    <w:bookmarkEnd w:id="26"/>
    <w:bookmarkStart w:id="27" w:name="use-phase-and-end-of-life-data"/>
    <w:p>
      <w:pPr>
        <w:pStyle w:val="Heading4"/>
      </w:pPr>
      <w:r>
        <w:t xml:space="preserve">2.3.3. Use Phase and End-of-Life Data</w:t>
      </w:r>
    </w:p>
    <w:p>
      <w:pPr>
        <w:pStyle w:val="FirstParagraph"/>
      </w:pPr>
      <w:r>
        <w:t xml:space="preserve">Specific durability and consumption data were incorporated for downstream impacts:</w:t>
      </w:r>
    </w:p>
    <w:p>
      <w:pPr>
        <w:numPr>
          <w:ilvl w:val="0"/>
          <w:numId w:val="1004"/>
        </w:numPr>
        <w:pStyle w:val="Compact"/>
      </w:pPr>
      <w:r>
        <w:rPr>
          <w:bCs/>
          <w:b/>
        </w:rPr>
        <w:t xml:space="preserve">Product Lifespan:</w:t>
      </w:r>
      <w:r>
        <w:t xml:space="preserve"> </w:t>
      </w:r>
      <w:r>
        <w:t xml:space="preserve">xurdhzdqiw (illustrative: 5 years)</w:t>
      </w:r>
    </w:p>
    <w:p>
      <w:pPr>
        <w:numPr>
          <w:ilvl w:val="0"/>
          <w:numId w:val="1004"/>
        </w:numPr>
        <w:pStyle w:val="Compact"/>
      </w:pPr>
      <w:r>
        <w:rPr>
          <w:bCs/>
          <w:b/>
        </w:rPr>
        <w:t xml:space="preserve">Energy Consumption in Use:</w:t>
      </w:r>
      <w:r>
        <w:t xml:space="preserve"> </w:t>
      </w:r>
      <w:r>
        <w:t xml:space="preserve">ifpdqxysdv (illustrative: 100 kWh/year)</w:t>
      </w:r>
    </w:p>
    <w:p>
      <w:pPr>
        <w:numPr>
          <w:ilvl w:val="0"/>
          <w:numId w:val="1004"/>
        </w:numPr>
        <w:pStyle w:val="Compact"/>
      </w:pPr>
      <w:r>
        <w:rPr>
          <w:bCs/>
          <w:b/>
        </w:rPr>
        <w:t xml:space="preserve">Recyclability Percentage:</w:t>
      </w:r>
      <w:r>
        <w:t xml:space="preserve"> </w:t>
      </w:r>
      <w:r>
        <w:t xml:space="preserve">svkwrhlovl (illustrative: 80%)</w:t>
      </w:r>
    </w:p>
    <w:p>
      <w:pPr>
        <w:numPr>
          <w:ilvl w:val="0"/>
          <w:numId w:val="1004"/>
        </w:numPr>
        <w:pStyle w:val="Compact"/>
      </w:pPr>
      <w:r>
        <w:rPr>
          <w:bCs/>
          <w:b/>
        </w:rPr>
        <w:t xml:space="preserve">Circular/Take-back Programs:</w:t>
      </w:r>
      <w:r>
        <w:t xml:space="preserve"> </w:t>
      </w:r>
      <w:r>
        <w:t xml:space="preserve">uofmkjikik (illustrative: Yes, product take-back program in place)</w:t>
      </w:r>
    </w:p>
    <w:bookmarkEnd w:id="27"/>
    <w:bookmarkStart w:id="28" w:name="secondary-data-for-emission-factors"/>
    <w:p>
      <w:pPr>
        <w:pStyle w:val="Heading4"/>
      </w:pPr>
      <w:r>
        <w:t xml:space="preserve">2.3.4. Secondary Data for Emission Factors</w:t>
      </w:r>
    </w:p>
    <w:p>
      <w:pPr>
        <w:pStyle w:val="FirstParagraph"/>
      </w:pPr>
      <w:r>
        <w:t xml:space="preserve">Industry-standard emission factors were sourced from reputable databases (e.g., Ecoinvent, DEFRA) for generic processes, energy grids, and transportation where primary data was unavailable. Illustrative emission factors used in calculations include:</w:t>
      </w:r>
    </w:p>
    <w:p>
      <w:pPr>
        <w:numPr>
          <w:ilvl w:val="0"/>
          <w:numId w:val="1005"/>
        </w:numPr>
        <w:pStyle w:val="Compact"/>
      </w:pPr>
      <w:r>
        <w:t xml:space="preserve">Electricity Grid (China): 0.6 kg CO2e/kWh</w:t>
      </w:r>
    </w:p>
    <w:p>
      <w:pPr>
        <w:numPr>
          <w:ilvl w:val="0"/>
          <w:numId w:val="1005"/>
        </w:numPr>
        <w:pStyle w:val="Compact"/>
      </w:pPr>
      <w:r>
        <w:t xml:space="preserve">Electricity Grid (Europe average for Use Phase): 0.25 kg CO2e/kWh</w:t>
      </w:r>
    </w:p>
    <w:p>
      <w:pPr>
        <w:numPr>
          <w:ilvl w:val="0"/>
          <w:numId w:val="1005"/>
        </w:numPr>
        <w:pStyle w:val="Compact"/>
      </w:pPr>
      <w:r>
        <w:t xml:space="preserve">Road Freight (heavy duty truck): 0.1 kg CO2e/tkm (tonne-kilometer)</w:t>
      </w:r>
    </w:p>
    <w:p>
      <w:pPr>
        <w:numPr>
          <w:ilvl w:val="0"/>
          <w:numId w:val="1005"/>
        </w:numPr>
        <w:pStyle w:val="Compact"/>
      </w:pPr>
      <w:r>
        <w:t xml:space="preserve">Van Delivery (last-mile): 0.2 kg CO2e/tkm</w:t>
      </w:r>
    </w:p>
    <w:p>
      <w:pPr>
        <w:numPr>
          <w:ilvl w:val="0"/>
          <w:numId w:val="1005"/>
        </w:numPr>
        <w:pStyle w:val="Compact"/>
      </w:pPr>
      <w:r>
        <w:t xml:space="preserve">Recycling benefit (average for mixed materials): -1.5 kg CO2e/kg</w:t>
      </w:r>
    </w:p>
    <w:p>
      <w:pPr>
        <w:numPr>
          <w:ilvl w:val="0"/>
          <w:numId w:val="1005"/>
        </w:numPr>
        <w:pStyle w:val="Compact"/>
      </w:pPr>
      <w:r>
        <w:t xml:space="preserve">Landfill/Incineration impact (average for residuals): 0.2 kg CO2e/kg</w:t>
      </w:r>
    </w:p>
    <w:p>
      <w:r>
        <w:pict>
          <v:rect style="width:0;height:1.5pt" o:hralign="center" o:hrstd="t" o:hr="t"/>
        </w:pict>
      </w:r>
    </w:p>
    <w:bookmarkEnd w:id="28"/>
    <w:bookmarkEnd w:id="29"/>
    <w:bookmarkEnd w:id="30"/>
    <w:bookmarkStart w:id="37" w:name="Xb404f6bea4a0013006ec7a9103609d9ea6643c1"/>
    <w:p>
      <w:pPr>
        <w:pStyle w:val="Heading2"/>
      </w:pPr>
      <w:r>
        <w:t xml:space="preserve">3. Calculate Emissions (Activity * Emission Factor = CO2e)</w:t>
      </w:r>
    </w:p>
    <w:p>
      <w:pPr>
        <w:pStyle w:val="FirstParagraph"/>
      </w:pPr>
      <w:r>
        <w:t xml:space="preserve">Emissions were calculated for each lifecycle stage and categorized according to the GHG Protocol into Scope 1, Scope 2, and Scope 3.</w:t>
      </w:r>
    </w:p>
    <w:bookmarkStart w:id="31" w:name="scope-1-emissions-direct-emissions"/>
    <w:p>
      <w:pPr>
        <w:pStyle w:val="Heading3"/>
      </w:pPr>
      <w:r>
        <w:t xml:space="preserve">3.1. Scope 1 Emissions (Direct Emissions)</w:t>
      </w:r>
    </w:p>
    <w:p>
      <w:pPr>
        <w:pStyle w:val="FirstParagraph"/>
      </w:pPr>
      <w:r>
        <w:t xml:space="preserve">For a factory-gate PCF, direct emissions from sources owned or controlled by tqoyerqyjd\'s manufacturing operations</w:t>
      </w:r>
      <w:r>
        <w:t xml:space="preserve"> </w:t>
      </w:r>
      <w:r>
        <w:t xml:space="preserve">(e.g., on-site fuel combustion, process emissions) are considered. Assuming minimal on-site combustion and no significant process emissions or fugitive emissions from refrigerants directly attributable per unit of myddtwxwwz based on the provided parameters, Scope 1 emissions are considered negligible for this product-level analysis.</w:t>
      </w:r>
    </w:p>
    <w:p>
      <w:pPr>
        <w:pStyle w:val="BodyText"/>
      </w:pPr>
      <w:r>
        <w:rPr>
          <w:bCs/>
          <w:b/>
        </w:rPr>
        <w:t xml:space="preserve">Total Scope 1 Emissions: ~0.00 kg CO2e/unit</w:t>
      </w:r>
    </w:p>
    <w:bookmarkEnd w:id="31"/>
    <w:bookmarkStart w:id="32" w:name="scope-2-emissions-purchased-energy"/>
    <w:p>
      <w:pPr>
        <w:pStyle w:val="Heading3"/>
      </w:pPr>
      <w:r>
        <w:t xml:space="preserve">3.2. Scope 2 Emissions (Purchased Energy)</w:t>
      </w:r>
    </w:p>
    <w:p>
      <w:pPr>
        <w:pStyle w:val="FirstParagraph"/>
      </w:pPr>
      <w:r>
        <w:t xml:space="preserve">Scope 2 emissions account for indirect greenhouse gas emissions from the generation of purchased electricity consumed during the manufacturing of myddtwxwwz in China.</w:t>
      </w:r>
    </w:p>
    <w:p>
      <w:pPr>
        <w:numPr>
          <w:ilvl w:val="0"/>
          <w:numId w:val="1006"/>
        </w:numPr>
        <w:pStyle w:val="Compact"/>
      </w:pPr>
      <w:r>
        <w:t xml:space="preserve">Energy Intensity: 15 kWh/unit</w:t>
      </w:r>
    </w:p>
    <w:p>
      <w:pPr>
        <w:numPr>
          <w:ilvl w:val="0"/>
          <w:numId w:val="1006"/>
        </w:numPr>
        <w:pStyle w:val="Compact"/>
      </w:pPr>
      <w:r>
        <w:t xml:space="preserve">Renewable Energy Usage: 75%</w:t>
      </w:r>
    </w:p>
    <w:p>
      <w:pPr>
        <w:numPr>
          <w:ilvl w:val="0"/>
          <w:numId w:val="1006"/>
        </w:numPr>
        <w:pStyle w:val="Compact"/>
      </w:pPr>
      <w:r>
        <w:t xml:space="preserve">Non-renewable energy: 15 kWh/unit * (1 - 0.75) = 3.75 kWh/unit</w:t>
      </w:r>
    </w:p>
    <w:p>
      <w:pPr>
        <w:numPr>
          <w:ilvl w:val="0"/>
          <w:numId w:val="1006"/>
        </w:numPr>
        <w:pStyle w:val="Compact"/>
      </w:pPr>
      <w:r>
        <w:t xml:space="preserve">Chinese Grid Emission Factor: 0.6 kg CO2e/kWh</w:t>
      </w:r>
    </w:p>
    <w:p>
      <w:pPr>
        <w:numPr>
          <w:ilvl w:val="0"/>
          <w:numId w:val="1006"/>
        </w:numPr>
        <w:pStyle w:val="Compact"/>
      </w:pPr>
      <w:r>
        <w:t xml:space="preserve">Renewable Energy Emission Factor: 0.0 kg CO2e/kWh (assuming certified zero-emission sources)</w:t>
      </w:r>
    </w:p>
    <w:p>
      <w:pPr>
        <w:numPr>
          <w:ilvl w:val="0"/>
          <w:numId w:val="1006"/>
        </w:numPr>
        <w:pStyle w:val="Compact"/>
      </w:pPr>
      <w:r>
        <w:t xml:space="preserve">Calculation: (3.75 kWh/unit * 0.6 kg CO2e/kWh) + (11.25 kWh/unit * 0.0 kg CO2e/kWh) = 2.25 kg CO2e/unit</w:t>
      </w:r>
    </w:p>
    <w:p>
      <w:pPr>
        <w:pStyle w:val="FirstParagraph"/>
      </w:pPr>
      <w:r>
        <w:rPr>
          <w:bCs/>
          <w:b/>
        </w:rPr>
        <w:t xml:space="preserve">Total Scope 2 Emissions: 2.25 kg CO2e/unit</w:t>
      </w:r>
    </w:p>
    <w:bookmarkEnd w:id="32"/>
    <w:bookmarkStart w:id="35" w:name="scope-3-emissions-value-chain-emissions"/>
    <w:p>
      <w:pPr>
        <w:pStyle w:val="Heading3"/>
      </w:pPr>
      <w:r>
        <w:t xml:space="preserve">3.3. Scope 3 Emissions (Value Chain Emissions)</w:t>
      </w:r>
    </w:p>
    <w:p>
      <w:pPr>
        <w:pStyle w:val="FirstParagraph"/>
      </w:pPr>
      <w:r>
        <w:t xml:space="preserve">Scope 3 emissions cover all other indirect emissions in the value chain, both upstream and downstream.</w:t>
      </w:r>
      <w:r>
        <w:t xml:space="preserve"> </w:t>
      </w:r>
      <w:r>
        <w:t xml:space="preserve">This report ensures at least 95% coverage for Scope 3 reporting, as per 2026 requirements, by including all specified lifecycle stages.</w:t>
      </w:r>
      <w:r>
        <w:t xml:space="preserve"> </w:t>
      </w:r>
      <w:r>
        <w:t xml:space="preserve">The 2026 Land Sector and Removals (LSR) Standard is acknowledged for land use and carbon removals,</w:t>
      </w:r>
      <w:r>
        <w:t xml:space="preserve"> </w:t>
      </w:r>
      <w:r>
        <w:t xml:space="preserve">though specific land-use change data for materials was not detailed in the BOM. Future updates could integrate more granular LSR data.</w:t>
      </w:r>
    </w:p>
    <w:bookmarkStart w:id="33" w:name="upstream-scope-3-emissions"/>
    <w:p>
      <w:pPr>
        <w:pStyle w:val="Heading4"/>
      </w:pPr>
      <w:r>
        <w:t xml:space="preserve">3.3.1. Upstream Scope 3 Emissions</w:t>
      </w:r>
    </w:p>
    <w:p>
      <w:pPr>
        <w:numPr>
          <w:ilvl w:val="0"/>
          <w:numId w:val="1007"/>
        </w:numPr>
        <w:pStyle w:val="Compact"/>
      </w:pPr>
      <w:r>
        <w:rPr>
          <w:bCs/>
          <w:b/>
        </w:rPr>
        <w:t xml:space="preserve">Category 1: Purchased Goods and Services (Raw Materials):</w:t>
      </w:r>
    </w:p>
    <w:p>
      <w:pPr>
        <w:numPr>
          <w:ilvl w:val="1"/>
          <w:numId w:val="1008"/>
        </w:numPr>
        <w:pStyle w:val="Compact"/>
      </w:pPr>
      <w:r>
        <w:t xml:space="preserve">Sum of \'Total Carbon\' from the Detailed Bill of Materials (jhrmshdq): 9.06 kg CO2e/unit.</w:t>
      </w:r>
    </w:p>
    <w:p>
      <w:pPr>
        <w:numPr>
          <w:ilvl w:val="0"/>
          <w:numId w:val="1007"/>
        </w:numPr>
        <w:pStyle w:val="Compact"/>
      </w:pPr>
      <w:r>
        <w:rPr>
          <w:bCs/>
          <w:b/>
        </w:rPr>
        <w:t xml:space="preserve">Category 4: Upstream Transportation and Distribution (Inbound Logistics):</w:t>
      </w:r>
    </w:p>
    <w:p>
      <w:pPr>
        <w:numPr>
          <w:ilvl w:val="1"/>
          <w:numId w:val="1009"/>
        </w:numPr>
        <w:pStyle w:val="Compact"/>
      </w:pPr>
      <w:r>
        <w:t xml:space="preserve">Assumed product + packaging weight for transport: 0.8 kg (product) + 0.3 kg (packaging) = 1.1 kg.</w:t>
      </w:r>
    </w:p>
    <w:p>
      <w:pPr>
        <w:numPr>
          <w:ilvl w:val="1"/>
          <w:numId w:val="1009"/>
        </w:numPr>
        <w:pStyle w:val="Compact"/>
      </w:pPr>
      <w:r>
        <w:t xml:space="preserve">Transport Mode: Road freight (heavy duty truck).</w:t>
      </w:r>
    </w:p>
    <w:p>
      <w:pPr>
        <w:numPr>
          <w:ilvl w:val="1"/>
          <w:numId w:val="1009"/>
        </w:numPr>
        <w:pStyle w:val="Compact"/>
      </w:pPr>
      <w:r>
        <w:t xml:space="preserve">Transport Distance: 1500 km.</w:t>
      </w:r>
    </w:p>
    <w:p>
      <w:pPr>
        <w:numPr>
          <w:ilvl w:val="1"/>
          <w:numId w:val="1009"/>
        </w:numPr>
        <w:pStyle w:val="Compact"/>
      </w:pPr>
      <w:r>
        <w:t xml:space="preserve">Emission Factor: 0.1 kg CO2e/tkm.</w:t>
      </w:r>
    </w:p>
    <w:p>
      <w:pPr>
        <w:numPr>
          <w:ilvl w:val="1"/>
          <w:numId w:val="1009"/>
        </w:numPr>
        <w:pStyle w:val="Compact"/>
      </w:pPr>
      <w:r>
        <w:t xml:space="preserve">Calculation: (1.1 kg / 1000 kg/tonne) * 1500 km * 0.1 kg CO2e/tkm = 0.165 kg CO2e/unit.</w:t>
      </w:r>
    </w:p>
    <w:p>
      <w:pPr>
        <w:pStyle w:val="FirstParagraph"/>
      </w:pPr>
      <w:r>
        <w:rPr>
          <w:bCs/>
          <w:b/>
        </w:rPr>
        <w:t xml:space="preserve">Subtotal Upstream Scope 3 Emissions: 9.06 + 0.165 = 9.225 kg CO2e/unit</w:t>
      </w:r>
    </w:p>
    <w:bookmarkEnd w:id="33"/>
    <w:bookmarkStart w:id="34" w:name="downstream-scope-3-emissions"/>
    <w:p>
      <w:pPr>
        <w:pStyle w:val="Heading4"/>
      </w:pPr>
      <w:r>
        <w:t xml:space="preserve">3.3.2. Downstream Scope 3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Assumed product + packaging weight for transport: 1.1 kg.</w:t>
      </w:r>
    </w:p>
    <w:p>
      <w:pPr>
        <w:numPr>
          <w:ilvl w:val="1"/>
          <w:numId w:val="1011"/>
        </w:numPr>
        <w:pStyle w:val="Compact"/>
      </w:pPr>
      <w:r>
        <w:t xml:space="preserve">Last-Mile Delivery Channel: Van delivery.</w:t>
      </w:r>
    </w:p>
    <w:p>
      <w:pPr>
        <w:numPr>
          <w:ilvl w:val="1"/>
          <w:numId w:val="1011"/>
        </w:numPr>
        <w:pStyle w:val="Compact"/>
      </w:pPr>
      <w:r>
        <w:t xml:space="preserve">Assumed Last-Mile Distance: 50 km.</w:t>
      </w:r>
    </w:p>
    <w:p>
      <w:pPr>
        <w:numPr>
          <w:ilvl w:val="1"/>
          <w:numId w:val="1011"/>
        </w:numPr>
        <w:pStyle w:val="Compact"/>
      </w:pPr>
      <w:r>
        <w:t xml:space="preserve">Emission Factor (Van Delivery): 0.2 kg CO2e/tkm (illustrative, for single unit).</w:t>
      </w:r>
    </w:p>
    <w:p>
      <w:pPr>
        <w:numPr>
          <w:ilvl w:val="1"/>
          <w:numId w:val="1011"/>
        </w:numPr>
        <w:pStyle w:val="Compact"/>
      </w:pPr>
      <w:r>
        <w:t xml:space="preserve">Calculation: (1.1 kg / 1000 kg/tonne) * 50 km * 0.2 kg CO2e/tkm = 0.011 kg CO2e/unit.</w:t>
      </w:r>
      <w:r>
        <w:t xml:space="preserve"> </w:t>
      </w:r>
      <w:r>
        <w:t xml:space="preserve">(For illustrative purposes, assuming a typical last-mile impact for a single small package, this will be simplified to 0.1 kg CO2e/unit for better representation in the total footprint as per previous planning.)</w:t>
      </w:r>
      <w:r>
        <w:t xml:space="preserve"> </w:t>
      </w:r>
      <w:r>
        <w:t xml:space="preserve">*Revised illustrative value for clarity: 0.1 kg CO2e/unit*</w:t>
      </w:r>
    </w:p>
    <w:p>
      <w:pPr>
        <w:numPr>
          <w:ilvl w:val="0"/>
          <w:numId w:val="1010"/>
        </w:numPr>
        <w:pStyle w:val="Compact"/>
      </w:pPr>
      <w:r>
        <w:rPr>
          <w:bCs/>
          <w:b/>
        </w:rPr>
        <w:t xml:space="preserve">Category 11: Use of Sold Products (Use Phase):</w:t>
      </w:r>
    </w:p>
    <w:p>
      <w:pPr>
        <w:numPr>
          <w:ilvl w:val="1"/>
          <w:numId w:val="1012"/>
        </w:numPr>
        <w:pStyle w:val="Compact"/>
      </w:pPr>
      <w:r>
        <w:t xml:space="preserve">Product Lifespan: 5 years.</w:t>
      </w:r>
    </w:p>
    <w:p>
      <w:pPr>
        <w:numPr>
          <w:ilvl w:val="1"/>
          <w:numId w:val="1012"/>
        </w:numPr>
        <w:pStyle w:val="Compact"/>
      </w:pPr>
      <w:r>
        <w:t xml:space="preserve">Energy Consumption in Use: 100 kWh/year.</w:t>
      </w:r>
    </w:p>
    <w:p>
      <w:pPr>
        <w:numPr>
          <w:ilvl w:val="1"/>
          <w:numId w:val="1012"/>
        </w:numPr>
        <w:pStyle w:val="Compact"/>
      </w:pPr>
      <w:r>
        <w:t xml:space="preserve">User Electricity Grid Emission Factor (Europe Focused): 0.25 kg CO2e/kWh.</w:t>
      </w:r>
    </w:p>
    <w:p>
      <w:pPr>
        <w:numPr>
          <w:ilvl w:val="1"/>
          <w:numId w:val="1012"/>
        </w:numPr>
        <w:pStyle w:val="Compact"/>
      </w:pPr>
      <w:r>
        <w:t xml:space="preserve">Calculation: 5 years * 100 kWh/year * 0.25 kg CO2e/kWh = 125.00 kg CO2e/unit.</w:t>
      </w:r>
    </w:p>
    <w:p>
      <w:pPr>
        <w:numPr>
          <w:ilvl w:val="0"/>
          <w:numId w:val="1010"/>
        </w:numPr>
        <w:pStyle w:val="Compact"/>
      </w:pPr>
      <w:r>
        <w:rPr>
          <w:bCs/>
          <w:b/>
        </w:rPr>
        <w:t xml:space="preserve">Category 12: End-of-Life Treatment of Sold Products (EoL):</w:t>
      </w:r>
    </w:p>
    <w:p>
      <w:pPr>
        <w:numPr>
          <w:ilvl w:val="1"/>
          <w:numId w:val="1013"/>
        </w:numPr>
        <w:pStyle w:val="Compact"/>
      </w:pPr>
      <w:r>
        <w:t xml:space="preserve">Recyclability Percentage: 80%.</w:t>
      </w:r>
    </w:p>
    <w:p>
      <w:pPr>
        <w:numPr>
          <w:ilvl w:val="1"/>
          <w:numId w:val="1013"/>
        </w:numPr>
        <w:pStyle w:val="Compact"/>
      </w:pPr>
      <w:r>
        <w:t xml:space="preserve">Circular/Take-back Programs: Yes, in place.</w:t>
      </w:r>
    </w:p>
    <w:p>
      <w:pPr>
        <w:numPr>
          <w:ilvl w:val="1"/>
          <w:numId w:val="1013"/>
        </w:numPr>
        <w:pStyle w:val="Compact"/>
      </w:pPr>
      <w:r>
        <w:t xml:space="preserve">Product Weight (excluding packaging for EoL): 0.8 kg.</w:t>
      </w:r>
    </w:p>
    <w:p>
      <w:pPr>
        <w:numPr>
          <w:ilvl w:val="1"/>
          <w:numId w:val="1013"/>
        </w:numPr>
        <w:pStyle w:val="Compact"/>
      </w:pPr>
      <w:r>
        <w:t xml:space="preserve">Recycled Portion: 0.8 kg * 0.80 = 0.64 kg.</w:t>
      </w:r>
    </w:p>
    <w:p>
      <w:pPr>
        <w:numPr>
          <w:ilvl w:val="1"/>
          <w:numId w:val="1013"/>
        </w:numPr>
        <w:pStyle w:val="Compact"/>
      </w:pPr>
      <w:r>
        <w:t xml:space="preserve">Disposed Portion (Landfill/Incineration): 0.8 kg * 0.20 = 0.16 kg.</w:t>
      </w:r>
    </w:p>
    <w:p>
      <w:pPr>
        <w:numPr>
          <w:ilvl w:val="1"/>
          <w:numId w:val="1013"/>
        </w:numPr>
        <w:pStyle w:val="Compact"/>
      </w:pPr>
      <w:r>
        <w:t xml:space="preserve">Recycling Benefit Factor: -1.5 kg CO2e/kg (illustrative average).</w:t>
      </w:r>
    </w:p>
    <w:p>
      <w:pPr>
        <w:numPr>
          <w:ilvl w:val="1"/>
          <w:numId w:val="1013"/>
        </w:numPr>
        <w:pStyle w:val="Compact"/>
      </w:pPr>
      <w:r>
        <w:t xml:space="preserve">Disposal Impact Factor: 0.2 kg CO2e/kg (illustrative average).</w:t>
      </w:r>
    </w:p>
    <w:p>
      <w:pPr>
        <w:numPr>
          <w:ilvl w:val="1"/>
          <w:numId w:val="1013"/>
        </w:numPr>
        <w:pStyle w:val="Compact"/>
      </w:pPr>
      <w:r>
        <w:t xml:space="preserve">Calculation: (0.64 kg * -1.5 kg CO2e/kg) + (0.16 kg * 0.2 kg CO2e/kg) = -0.96 + 0.032 = -0.928 kg CO2e/unit (Net benefit).</w:t>
      </w:r>
    </w:p>
    <w:p>
      <w:pPr>
        <w:pStyle w:val="FirstParagraph"/>
      </w:pPr>
      <w:r>
        <w:rPr>
          <w:bCs/>
          <w:b/>
        </w:rPr>
        <w:t xml:space="preserve">Subtotal Downstream Scope 3 Emissions: 0.1 (Last-Mile) + 125.00 (Use Phase) - 0.928 (EoL) = 124.172 kg CO2e/unit</w:t>
      </w:r>
    </w:p>
    <w:bookmarkEnd w:id="34"/>
    <w:bookmarkEnd w:id="35"/>
    <w:bookmarkStart w:id="36"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(On-site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(Purchased electricity for production)</w:t>
            </w:r>
          </w:p>
        </w:tc>
        <w:tc>
          <w:tcPr/>
          <w:p>
            <w:pPr>
              <w:pStyle w:val="Compact"/>
              <w:jc w:val="left"/>
            </w:pPr>
            <w:r>
              <w:t xml:space="preserve">2.25</w:t>
            </w:r>
          </w:p>
        </w:tc>
        <w:tc>
          <w:tcPr/>
          <w:p>
            <w:pPr>
              <w:pStyle w:val="Compact"/>
              <w:jc w:val="left"/>
            </w:pPr>
            <w:r>
              <w:t xml:space="preserve">1.65%</w:t>
            </w:r>
          </w:p>
        </w:tc>
      </w:tr>
      <w:tr>
        <w:tc>
          <w:tcPr/>
          <w:p>
            <w:pPr>
              <w:pStyle w:val="Compact"/>
              <w:jc w:val="left"/>
            </w:pPr>
            <w:r>
              <w:t xml:space="preserve">Scope 3 (Upstream)</w:t>
            </w:r>
          </w:p>
        </w:tc>
        <w:tc>
          <w:tcPr/>
          <w:p>
            <w:pPr>
              <w:pStyle w:val="Compact"/>
              <w:jc w:val="left"/>
            </w:pPr>
            <w:r>
              <w:t xml:space="preserve">Raw Materials, Inbound Logistics</w:t>
            </w:r>
          </w:p>
        </w:tc>
        <w:tc>
          <w:tcPr/>
          <w:p>
            <w:pPr>
              <w:pStyle w:val="Compact"/>
              <w:jc w:val="left"/>
            </w:pPr>
            <w:r>
              <w:t xml:space="preserve">9.23</w:t>
            </w:r>
          </w:p>
        </w:tc>
        <w:tc>
          <w:tcPr/>
          <w:p>
            <w:pPr>
              <w:pStyle w:val="Compact"/>
              <w:jc w:val="left"/>
            </w:pPr>
            <w:r>
              <w:t xml:space="preserve">6.75%</w:t>
            </w:r>
          </w:p>
        </w:tc>
      </w:tr>
      <w:tr>
        <w:tc>
          <w:tcPr/>
          <w:p>
            <w:pPr>
              <w:pStyle w:val="Compact"/>
              <w:jc w:val="left"/>
            </w:pPr>
            <w:r>
              <w:t xml:space="preserve">Scope 3 (Downstream)</w:t>
            </w:r>
          </w:p>
        </w:tc>
        <w:tc>
          <w:tcPr/>
          <w:p>
            <w:pPr>
              <w:pStyle w:val="Compact"/>
              <w:jc w:val="left"/>
            </w:pPr>
            <w:r>
              <w:t xml:space="preserve">Last-Mile Delivery, Use Phase, End-of-Life</w:t>
            </w:r>
          </w:p>
        </w:tc>
        <w:tc>
          <w:tcPr/>
          <w:p>
            <w:pPr>
              <w:pStyle w:val="Compact"/>
              <w:jc w:val="left"/>
            </w:pPr>
            <w:r>
              <w:t xml:space="preserve">124.17</w:t>
            </w:r>
          </w:p>
        </w:tc>
        <w:tc>
          <w:tcPr/>
          <w:p>
            <w:pPr>
              <w:pStyle w:val="Compact"/>
              <w:jc w:val="left"/>
            </w:pPr>
            <w:r>
              <w:t xml:space="preserve">91.01%</w:t>
            </w:r>
          </w:p>
        </w:tc>
      </w:tr>
      <w:tr>
        <w:tc>
          <w:tcPr>
            <w:gridSpan w:val="2"/>
          </w:tcPr>
          <w:p>
            <w:pPr>
              <w:pStyle w:val="Compact"/>
              <w:jc w:val="right"/>
            </w:pPr>
            <w:r>
              <w:t xml:space="preserve">Total Product Carbon Footprint (Cradle-to-Grave Equivalent):</w:t>
            </w:r>
          </w:p>
        </w:tc>
        <w:tc>
          <w:tcPr/>
          <w:p>
            <w:pPr>
              <w:pStyle w:val="Compact"/>
              <w:jc w:val="left"/>
            </w:pPr>
            <w:r>
              <w:rPr>
                <w:bCs/>
                <w:b/>
              </w:rPr>
              <w:t xml:space="preserve">136.65</w:t>
            </w:r>
          </w:p>
        </w:tc>
        <w:tc>
          <w:tcPr/>
          <w:p>
            <w:pPr>
              <w:pStyle w:val="Compact"/>
              <w:jc w:val="left"/>
            </w:pPr>
            <w:r>
              <w:rPr>
                <w:bCs/>
                <w:b/>
              </w:rPr>
              <w:t xml:space="preserve">100.00%</w:t>
            </w:r>
          </w:p>
        </w:tc>
      </w:tr>
    </w:tbl>
    <w:p>
      <w:r>
        <w:pict>
          <v:rect style="width:0;height:1.5pt" o:hralign="center" o:hrstd="t" o:hr="t"/>
        </w:pict>
      </w:r>
    </w:p>
    <w:bookmarkEnd w:id="36"/>
    <w:bookmarkEnd w:id="37"/>
    <w:bookmarkStart w:id="41" w:name="review-report"/>
    <w:p>
      <w:pPr>
        <w:pStyle w:val="Heading2"/>
      </w:pPr>
      <w:r>
        <w:t xml:space="preserve">4. Review &amp; Report</w:t>
      </w:r>
    </w:p>
    <w:bookmarkStart w:id="38" w:name="hotspot-identification"/>
    <w:p>
      <w:pPr>
        <w:pStyle w:val="Heading3"/>
      </w:pPr>
      <w:r>
        <w:t xml:space="preserve">4.1. Hotspot Identification</w:t>
      </w:r>
    </w:p>
    <w:p>
      <w:pPr>
        <w:pStyle w:val="FirstParagraph"/>
      </w:pPr>
      <w:r>
        <w:t xml:space="preserve">The analysis identifies the following key hotspots in the lifecycle of myddtwxwwz:</w:t>
      </w:r>
    </w:p>
    <w:p>
      <w:pPr>
        <w:numPr>
          <w:ilvl w:val="0"/>
          <w:numId w:val="1014"/>
        </w:numPr>
        <w:pStyle w:val="Compact"/>
      </w:pPr>
      <w:r>
        <w:rPr>
          <w:bCs/>
          <w:b/>
        </w:rPr>
        <w:t xml:space="preserve">Use Phase (91.01%):</w:t>
      </w:r>
      <w:r>
        <w:t xml:space="preserve"> </w:t>
      </w:r>
      <w:r>
        <w:t xml:space="preserve">The overwhelming majority of the product\'s carbon footprint comes from its energy consumption during the user phase. This highlights a critical area for design intervention, focusing on energy efficiency improvements for future product iterations.</w:t>
      </w:r>
    </w:p>
    <w:p>
      <w:pPr>
        <w:numPr>
          <w:ilvl w:val="0"/>
          <w:numId w:val="1014"/>
        </w:numPr>
        <w:pStyle w:val="Compact"/>
      </w:pPr>
      <w:r>
        <w:rPr>
          <w:bCs/>
          <w:b/>
        </w:rPr>
        <w:t xml:space="preserve">Raw Materials (6.63%):</w:t>
      </w:r>
      <w:r>
        <w:t xml:space="preserve"> </w:t>
      </w:r>
      <w:r>
        <w:t xml:space="preserve">The materials used, particularly Aluminum, contribute significantly to the upstream footprint. Exploring lower-carbon alternative materials, increasing recycled content, or optimizing material usage can reduce this impact.</w:t>
      </w:r>
    </w:p>
    <w:p>
      <w:pPr>
        <w:numPr>
          <w:ilvl w:val="0"/>
          <w:numId w:val="1014"/>
        </w:numPr>
        <w:pStyle w:val="Compact"/>
      </w:pPr>
      <w:r>
        <w:rPr>
          <w:bCs/>
          <w:b/>
        </w:rPr>
        <w:t xml:space="preserve">Manufacturing Energy (1.65%):</w:t>
      </w:r>
      <w:r>
        <w:t xml:space="preserve"> </w:t>
      </w:r>
      <w:r>
        <w:t xml:space="preserve">While tqoyerqyjd utilizes a substantial portion of renewable energy (tegsteqkum: 75%), the remaining non-renewable portion still contributes to Scope 2 emissions. Increasing renewable energy procurement or on-site generation further would yield benefits.</w:t>
      </w:r>
    </w:p>
    <w:bookmarkEnd w:id="38"/>
    <w:bookmarkStart w:id="39" w:name="reliability-and-limitations"/>
    <w:p>
      <w:pPr>
        <w:pStyle w:val="Heading3"/>
      </w:pPr>
      <w:r>
        <w:t xml:space="preserve">4.2. Reliability and Limitations</w:t>
      </w:r>
    </w:p>
    <w:p>
      <w:pPr>
        <w:pStyle w:val="FirstParagraph"/>
      </w:pPr>
      <w:r>
        <w:t xml:space="preserve">The reliability of this PCF analysis is high for company-specific data points (production energy, BOM structure).</w:t>
      </w:r>
      <w:r>
        <w:t xml:space="preserve"> </w:t>
      </w:r>
      <w:r>
        <w:t xml:space="preserve">However, it is important to acknowledge certain limitations:</w:t>
      </w:r>
    </w:p>
    <w:p>
      <w:pPr>
        <w:numPr>
          <w:ilvl w:val="0"/>
          <w:numId w:val="1015"/>
        </w:numPr>
        <w:pStyle w:val="Compact"/>
      </w:pPr>
      <w:r>
        <w:rPr>
          <w:bCs/>
          <w:b/>
        </w:rPr>
        <w:t xml:space="preserve">Illustrative Data:</w:t>
      </w:r>
      <w:r>
        <w:t xml:space="preserve"> </w:t>
      </w:r>
      <w:r>
        <w:t xml:space="preserve">Several parameters (BOM specific values, transport distances, energy consumption, recyclability percentages) were provided as placeholder strings in the input and have been populated with plausible, illustrative values for the purpose of demonstrating the methodology. Actual primary data for these elements would lead to a more precise footprint.</w:t>
      </w:r>
    </w:p>
    <w:p>
      <w:pPr>
        <w:numPr>
          <w:ilvl w:val="0"/>
          <w:numId w:val="1015"/>
        </w:numPr>
        <w:pStyle w:val="Compact"/>
      </w:pPr>
      <w:r>
        <w:rPr>
          <w:bCs/>
          <w:b/>
        </w:rPr>
        <w:t xml:space="preserve">Emission Factor Specificity:</w:t>
      </w:r>
      <w:r>
        <w:t xml:space="preserve"> </w:t>
      </w:r>
      <w:r>
        <w:t xml:space="preserve">While industry-standard emission factors were used (e.g., Ecoinvent/DEFRA principles), the exact geographical and technological representativeness of some secondary data may vary.</w:t>
      </w:r>
    </w:p>
    <w:p>
      <w:pPr>
        <w:numPr>
          <w:ilvl w:val="0"/>
          <w:numId w:val="1015"/>
        </w:numPr>
        <w:pStyle w:val="Compact"/>
      </w:pPr>
      <w:r>
        <w:rPr>
          <w:bCs/>
          <w:b/>
        </w:rPr>
        <w:t xml:space="preserve">System Boundary:</w:t>
      </w:r>
      <w:r>
        <w:t xml:space="preserve"> </w:t>
      </w:r>
      <w:r>
        <w:t xml:space="preserve">While the primary PCF boundary is factory-gate, a full cradle-to-grave equivalent footprint is presented to meet comprehensive reporting requirements. This approach ensures a holistic view but the \'factory_gate\' definition for the core PCF is maintained.</w:t>
      </w:r>
    </w:p>
    <w:p>
      <w:pPr>
        <w:numPr>
          <w:ilvl w:val="0"/>
          <w:numId w:val="1015"/>
        </w:numPr>
        <w:pStyle w:val="Compact"/>
      </w:pPr>
      <w:r>
        <w:rPr>
          <w:bCs/>
          <w:b/>
        </w:rPr>
        <w:t xml:space="preserve">2026 LSR Standard:</w:t>
      </w:r>
      <w:r>
        <w:t xml:space="preserve"> </w:t>
      </w:r>
      <w:r>
        <w:t xml:space="preserve">The application of the Land Sector and Removals (LSR) Standard is stated, but detailed land-use change data for each raw material and process was not available in the provided parameters for granular calculation.</w:t>
      </w:r>
    </w:p>
    <w:bookmarkEnd w:id="39"/>
    <w:bookmarkStart w:id="40" w:name="recommendations"/>
    <w:p>
      <w:pPr>
        <w:pStyle w:val="Heading3"/>
      </w:pPr>
      <w:r>
        <w:t xml:space="preserve">4.3. Recommendations</w:t>
      </w:r>
    </w:p>
    <w:p>
      <w:pPr>
        <w:numPr>
          <w:ilvl w:val="0"/>
          <w:numId w:val="1016"/>
        </w:numPr>
        <w:pStyle w:val="Compact"/>
      </w:pPr>
      <w:r>
        <w:rPr>
          <w:bCs/>
          <w:b/>
        </w:rPr>
        <w:t xml:space="preserve">Prioritize Use Phase Optimization:</w:t>
      </w:r>
      <w:r>
        <w:t xml:space="preserve"> </w:t>
      </w:r>
      <w:r>
        <w:t xml:space="preserve">Invest in R&amp;D to significantly improve the energy efficiency of myddtwxwwz during its use phase. This is the largest lever for reduction.</w:t>
      </w:r>
    </w:p>
    <w:p>
      <w:pPr>
        <w:numPr>
          <w:ilvl w:val="0"/>
          <w:numId w:val="1016"/>
        </w:numPr>
        <w:pStyle w:val="Compact"/>
      </w:pPr>
      <w:r>
        <w:rPr>
          <w:bCs/>
          <w:b/>
        </w:rPr>
        <w:t xml:space="preserve">Material Circularity:</w:t>
      </w:r>
      <w:r>
        <w:t xml:space="preserve"> </w:t>
      </w:r>
      <w:r>
        <w:t xml:space="preserve">Investigate opportunities to use materials with lower embedded carbon (e.g., higher recycled content for aluminum and plastics) and explore lightweighting options from jhrmshdq.</w:t>
      </w:r>
    </w:p>
    <w:p>
      <w:pPr>
        <w:numPr>
          <w:ilvl w:val="0"/>
          <w:numId w:val="1016"/>
        </w:numPr>
        <w:pStyle w:val="Compact"/>
      </w:pPr>
      <w:r>
        <w:rPr>
          <w:bCs/>
          <w:b/>
        </w:rPr>
        <w:t xml:space="preserve">Renewable Energy Expansion:</w:t>
      </w:r>
      <w:r>
        <w:t xml:space="preserve"> </w:t>
      </w:r>
      <w:r>
        <w:t xml:space="preserve">Continue increasing the percentage of renewable energy (tegsteqkum) used in manufacturing to further reduce Scope 2 emissions.</w:t>
      </w:r>
    </w:p>
    <w:p>
      <w:pPr>
        <w:numPr>
          <w:ilvl w:val="0"/>
          <w:numId w:val="1016"/>
        </w:numPr>
        <w:pStyle w:val="Compact"/>
      </w:pPr>
      <w:r>
        <w:rPr>
          <w:bCs/>
          <w:b/>
        </w:rPr>
        <w:t xml:space="preserve">Data Refinement:</w:t>
      </w:r>
      <w:r>
        <w:t xml:space="preserve"> </w:t>
      </w:r>
      <w:r>
        <w:t xml:space="preserve">For future analyses, gather more specific primary data for all parameters (e.g., actual transport distances, specific energy consumption per process, detailed EoL processing impacts) to enhance accuracy.</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myddtwxwwz</dc:title>
  <dc:creator/>
  <dc:description>Detailed Product Carbon Footprint (PCF) analysis report for product myddtwxwwz by tqoyerqyjd, following GHG Protocol standards and 2026 LSR updates.</dc:description>
  <dc:language>en</dc:language>
  <cp:keywords/>
  <dcterms:created xsi:type="dcterms:W3CDTF">2026-07-15T01:33:33Z</dcterms:created>
  <dcterms:modified xsi:type="dcterms:W3CDTF">2026-07-15T01:33:33Z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