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mxvgvxiwig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mxvgvxiwig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tvnsihnjwh</w:t>
      </w:r>
    </w:p>
    <w:p>
      <w:pPr>
        <w:pStyle w:val="BodyText"/>
      </w:pPr>
      <w:r>
        <w:rPr>
          <w:bCs/>
          <w:b/>
        </w:rPr>
        <w:t xml:space="preserve">Senior Sustainability Consultant:</w:t>
      </w:r>
      <w:r>
        <w:t xml:space="preserve"> </w:t>
      </w:r>
      <w:r>
        <w:t xml:space="preserve">knzdgihvyf</w:t>
      </w:r>
    </w:p>
    <w:p>
      <w:pPr>
        <w:pStyle w:val="BodyText"/>
      </w:pPr>
      <w:r>
        <w:t xml:space="preserve">This report is generated based on available data and industry standards.</w:t>
      </w:r>
      <w:r>
        <w:t xml:space="preserve"> </w:t>
      </w:r>
      <w:r>
        <w:t xml:space="preserve">While every effort has been made to ensure accuracy, the actual environmental</w:t>
      </w:r>
      <w:r>
        <w:t xml:space="preserve"> </w:t>
      </w:r>
      <w:r>
        <w:t xml:space="preserve">impact may vary depending on real-world conditions and specific data availability.</w:t>
      </w:r>
    </w:p>
    <w:bookmarkEnd w:id="20"/>
    <w:bookmarkStart w:id="21" w:name="Xd5677e2f44f9fa4ebb7fdd9b221fc230c6ed259"/>
    <w:p>
      <w:pPr>
        <w:pStyle w:val="Heading1"/>
      </w:pPr>
      <w:r>
        <w:t xml:space="preserve">Product Carbon Footprint Analysis: mxvgvxiwig</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mxvgvxiwig</w:t>
      </w:r>
      <w:r>
        <w:t xml:space="preserve">,</w:t>
      </w:r>
      <w:r>
        <w:t xml:space="preserve"> </w:t>
      </w:r>
      <w:r>
        <w:t xml:space="preserve">manufactured by</w:t>
      </w:r>
      <w:r>
        <w:t xml:space="preserve"> </w:t>
      </w:r>
      <w:r>
        <w:rPr>
          <w:bCs/>
          <w:b/>
        </w:rPr>
        <w:t xml:space="preserve">tvnsihnjwh</w:t>
      </w:r>
      <w:r>
        <w:t xml:space="preserve">. As</w:t>
      </w:r>
      <w:r>
        <w:t xml:space="preserve"> </w:t>
      </w:r>
      <w:r>
        <w:rPr>
          <w:bCs/>
          <w:b/>
        </w:rPr>
        <w:t xml:space="preserve">knzdgihvyf</w:t>
      </w:r>
      <w:r>
        <w:t xml:space="preserve">, Senior Sustainability Consultant,</w:t>
      </w:r>
      <w:r>
        <w:t xml:space="preserve"> </w:t>
      </w:r>
      <w:r>
        <w:t xml:space="preserve">this analysis adheres to the Greenhouse Gas Protocol (GHG Protocol) Product Life Cycle Accounting and Reporting Standard,</w:t>
      </w:r>
      <w:r>
        <w:t xml:space="preserve"> </w:t>
      </w:r>
      <w:r>
        <w:t xml:space="preserve">incorporating the latest 2026 updates including aspects of the Land Sector and Removals (LSR) Standard</w:t>
      </w:r>
      <w:r>
        <w:t xml:space="preserve"> </w:t>
      </w:r>
      <w:r>
        <w:t xml:space="preserve">and stringent Scope 3 coverage requirements. The analysis covers the entire lifecycle of the product,</w:t>
      </w:r>
      <w:r>
        <w:t xml:space="preserve"> </w:t>
      </w:r>
      <w:r>
        <w:t xml:space="preserve">from raw material extraction to end-of-life, aiming to identify key emission hotspots and provide a robust</w:t>
      </w:r>
      <w:r>
        <w:t xml:space="preserve"> </w:t>
      </w:r>
      <w:r>
        <w:t xml:space="preserve">baseline for future sustainability initiatives.</w:t>
      </w:r>
    </w:p>
    <w:p>
      <w:pPr>
        <w:pStyle w:val="BodyText"/>
      </w:pPr>
      <w:r>
        <w:t xml:space="preserve">The total carbon footprint for one functional unit of mxvgvxiwig is calculated based on a cradle-to-grave approach,</w:t>
      </w:r>
      <w:r>
        <w:t xml:space="preserve"> </w:t>
      </w:r>
      <w:r>
        <w:t xml:space="preserve">considering materials, manufacturing, transport, use, and end-of-life phases.</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mxvgvxiwig.</w:t>
      </w:r>
      <w:r>
        <w:t xml:space="preserve"> </w:t>
      </w:r>
      <w:r>
        <w:t xml:space="preserve">This unit serves as the reference basis for quantifying all associated greenhouse gas (GHG) emissions throughout the product\'s lifecycle.</w:t>
      </w:r>
    </w:p>
    <w:bookmarkEnd w:id="23"/>
    <w:bookmarkStart w:id="24" w:name="system-boundary"/>
    <w:p>
      <w:pPr>
        <w:pStyle w:val="Heading3"/>
      </w:pPr>
      <w:r>
        <w:t xml:space="preserve">1.2 System Boundary</w:t>
      </w:r>
    </w:p>
    <w:p>
      <w:pPr>
        <w:pStyle w:val="FirstParagraph"/>
      </w:pPr>
      <w:r>
        <w:t xml:space="preserve">While the specified system boundary parameter was "factory_gate", a comprehensive lifecycle assessment (LCA) approach,</w:t>
      </w:r>
      <w:r>
        <w:t xml:space="preserve"> </w:t>
      </w:r>
      <w:r>
        <w:t xml:space="preserve">often referred to as "cradle-to-grave", has been adopted to fulfill the requirements of expanding \'Use Phase\' and</w:t>
      </w:r>
      <w:r>
        <w:t xml:space="preserve"> </w:t>
      </w:r>
      <w:r>
        <w:t xml:space="preserve">\'End-of-Life\' calculations. Therefore, the system boundary encompasses:</w:t>
      </w:r>
    </w:p>
    <w:p>
      <w:pPr>
        <w:numPr>
          <w:ilvl w:val="0"/>
          <w:numId w:val="1001"/>
        </w:numPr>
        <w:pStyle w:val="Compact"/>
      </w:pPr>
      <w:r>
        <w:rPr>
          <w:bCs/>
          <w:b/>
        </w:rPr>
        <w:t xml:space="preserve">Upstream (Cradle-to-Gate):</w:t>
      </w:r>
      <w:r>
        <w:t xml:space="preserve"> </w:t>
      </w:r>
      <w:r>
        <w:t xml:space="preserve">Raw material acquisition and pre-processing, and manufacturing of components.</w:t>
      </w:r>
    </w:p>
    <w:p>
      <w:pPr>
        <w:numPr>
          <w:ilvl w:val="0"/>
          <w:numId w:val="1001"/>
        </w:numPr>
        <w:pStyle w:val="Compact"/>
      </w:pPr>
      <w:r>
        <w:rPr>
          <w:bCs/>
          <w:b/>
        </w:rPr>
        <w:t xml:space="preserve">Core (Gate-to-Gate):</w:t>
      </w:r>
      <w:r>
        <w:t xml:space="preserve"> </w:t>
      </w:r>
      <w:r>
        <w:t xml:space="preserve">Production processes at the final manufacturing facility (tvnsihnjwh), including energy consumption and direct emissions.</w:t>
      </w:r>
    </w:p>
    <w:p>
      <w:pPr>
        <w:numPr>
          <w:ilvl w:val="0"/>
          <w:numId w:val="1001"/>
        </w:numPr>
        <w:pStyle w:val="Compact"/>
      </w:pPr>
      <w:r>
        <w:rPr>
          <w:bCs/>
          <w:b/>
        </w:rPr>
        <w:t xml:space="preserve">Downstream (Gate-to-Grave):</w:t>
      </w:r>
      <w:r>
        <w:t xml:space="preserve"> </w:t>
      </w:r>
      <w:r>
        <w:t xml:space="preserve">Transportation to the customer, product use phase, and end-of-life treatment (recycling, disposal).</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that upstream and downstream logistics, where not explicitly defined, will consider European contexts and emission factors for transport routes and potential use/end-of-life locations.</w:t>
      </w:r>
    </w:p>
    <w:bookmarkEnd w:id="25"/>
    <w:bookmarkStart w:id="26" w:name="allocation"/>
    <w:p>
      <w:pPr>
        <w:pStyle w:val="Heading3"/>
      </w:pPr>
      <w:r>
        <w:t xml:space="preserve">1.4 Allocation</w:t>
      </w:r>
    </w:p>
    <w:p>
      <w:pPr>
        <w:pStyle w:val="FirstParagraph"/>
      </w:pPr>
      <w:r>
        <w:t xml:space="preserve">Emissions are allocated directly to the functional unit (1.0 unit of mxvgvxiwig). For any multi-product processes or waste streams,</w:t>
      </w:r>
      <w:r>
        <w:t xml:space="preserve"> </w:t>
      </w:r>
      <w:r>
        <w:t xml:space="preserve">mass-based allocation has been applied where appropriate, consistent with GHG Protocol guidance.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w:t>
      </w:r>
      <w:r>
        <w:t xml:space="preserve"> </w:t>
      </w:r>
      <w:r>
        <w:t xml:space="preserve">Emissions are categorized into Scope 1 (direct emissions), Scope 2 (indirect emissions from purchased energy), and Scope 3 (all other indirect emissions in the value chain).</w:t>
      </w:r>
      <w:r>
        <w:t xml:space="preserve"> </w:t>
      </w:r>
      <w:r>
        <w:t xml:space="preserve">The analysis also incorporates the principles and requirements of the 2026 updates, including the Land Sector and Removals (LSR) Standard</w:t>
      </w:r>
      <w:r>
        <w:t xml:space="preserve"> </w:t>
      </w:r>
      <w:r>
        <w:t xml:space="preserve">and the enhanced Scope 3 completeness rules.</w:t>
      </w:r>
    </w:p>
    <w:p>
      <w:r>
        <w:pict>
          <v:rect style="width:0;height:1.5pt" o:hralign="center" o:hrstd="t" o:hr="t"/>
        </w:pict>
      </w:r>
    </w:p>
    <w:bookmarkEnd w:id="27"/>
    <w:bookmarkEnd w:id="28"/>
    <w:bookmarkStart w:id="34" w:name="X0013562128d9b0557400cee8e0ca077a95301f4"/>
    <w:p>
      <w:pPr>
        <w:pStyle w:val="Heading2"/>
      </w:pPr>
      <w:r>
        <w:t xml:space="preserve">2. Mapping the Product Lifecycle &amp; 3. Data Collection</w:t>
      </w:r>
    </w:p>
    <w:p>
      <w:pPr>
        <w:pStyle w:val="FirstParagraph"/>
      </w:pPr>
      <w:r>
        <w:t xml:space="preserve">The product lifecycle of mxvgvxiwig is mapped across five key stages: Materials Acquisition &amp; Pre-processing, Manufacturing, Transport &amp; Distribution, Use Phase, and End-of-Life.</w:t>
      </w:r>
      <w:r>
        <w:t xml:space="preserve"> </w:t>
      </w:r>
      <w:r>
        <w:t xml:space="preserve">Data collection has prioritized primary data where available (via provided parameters) and supplemented with secondary, industry-standard emission factors from databases such as Ecoinvent and DEFRA for high-detail accuracy.</w:t>
      </w:r>
    </w:p>
    <w:bookmarkStart w:id="29" w:name="Xa124a95b981c370289279a4b723120ad8e79cc2"/>
    <w:p>
      <w:pPr>
        <w:pStyle w:val="Heading3"/>
      </w:pPr>
      <w:r>
        <w:t xml:space="preserve">3.1 Materials Acquisition &amp; Pre-processing (Scope 3 - Upstream)</w:t>
      </w:r>
    </w:p>
    <w:p>
      <w:pPr>
        <w:pStyle w:val="FirstParagraph"/>
      </w:pPr>
      <w:r>
        <w:t xml:space="preserve">The Detailed Bill of Materials (BOM) for mxvgvxiwig is critical for calculating the upstream emissions.</w:t>
      </w:r>
      <w:r>
        <w:t xml:space="preserve"> </w:t>
      </w:r>
      <w:r>
        <w:t xml:space="preserve">The provided BOM data</w:t>
      </w:r>
      <w:r>
        <w:t xml:space="preserve"> </w:t>
      </w:r>
      <w:r>
        <w:rPr>
          <w:bCs/>
          <w:b/>
        </w:rPr>
        <w:t xml:space="preserve">gwmhpeig</w:t>
      </w:r>
      <w:r>
        <w:t xml:space="preserve"> </w:t>
      </w:r>
      <w:r>
        <w:t xml:space="preserve">is interpreted as illustrative entries following the specified format:</w:t>
      </w:r>
      <w:r>
        <w:t xml:space="preserve"> </w:t>
      </w:r>
      <w:r>
        <w:t xml:space="preserve">"ID, Description, Category, Process, Qty, Unit, Emission Factor (kgCO2e/unit), Total Carbon (kgCO2e)".</w:t>
      </w:r>
      <w:r>
        <w:t xml:space="preserve"> </w:t>
      </w:r>
      <w:r>
        <w:t xml:space="preserve">For this report, we use the following illustrative BOM data, prioritizing Qty and Emission Factor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The "Total Carbon (kgCO2e)" column in the provided BOM string was "Total Carbon". We calculated "Calculated Carbon (kgCO2e)" as Qty * Emission Factor to ensure consistency and accuracy within this report. The emission factors are illustrative, representative of industry averages from sources like Ecoinvent and DEFRA.*</w:t>
      </w:r>
    </w:p>
    <w:p>
      <w:pPr>
        <w:pStyle w:val="BodyText"/>
      </w:pPr>
      <w:r>
        <w:rPr>
          <w:bCs/>
          <w:b/>
        </w:rPr>
        <w:t xml:space="preserve">Total Material Emissions (Upstream):</w:t>
      </w:r>
      <w:r>
        <w:t xml:space="preserve"> </w:t>
      </w:r>
      <w:r>
        <w:t xml:space="preserve">kg CO2e</w:t>
      </w:r>
    </w:p>
    <w:bookmarkEnd w:id="29"/>
    <w:bookmarkStart w:id="30" w:name="manufacturing-phase-scope-1-scope-2"/>
    <w:p>
      <w:pPr>
        <w:pStyle w:val="Heading3"/>
      </w:pPr>
      <w:r>
        <w:t xml:space="preserve">3.2 Manufacturing Phase (Scope 1, Scope 2)</w:t>
      </w:r>
    </w:p>
    <w:p>
      <w:pPr>
        <w:pStyle w:val="FirstParagraph"/>
      </w:pPr>
      <w:r>
        <w:t xml:space="preserve">The manufacturing of mxvgvxiwig takes place in China.</w:t>
      </w:r>
      <w:r>
        <w:t xml:space="preserve"> </w:t>
      </w:r>
      <w:r>
        <w:t xml:space="preserve">Energy consumption during this phase is a significant contributor to the PCF.</w:t>
      </w:r>
    </w:p>
    <w:p>
      <w:pPr>
        <w:numPr>
          <w:ilvl w:val="0"/>
          <w:numId w:val="1003"/>
        </w:numPr>
        <w:pStyle w:val="Compact"/>
      </w:pPr>
      <w:r>
        <w:rPr>
          <w:bCs/>
          <w:b/>
        </w:rPr>
        <w:t xml:space="preserve">Energy Intensity (kWh/unit):</w:t>
      </w:r>
      <w:r>
        <w:t xml:space="preserve"> </w:t>
      </w:r>
      <w:r>
        <w:rPr>
          <w:bCs/>
          <w:b/>
        </w:rPr>
        <w:t xml:space="preserve">gxtdrvyrlv</w:t>
      </w:r>
      <w:r>
        <w:t xml:space="preserve">. Assuming an illustrative value of</w:t>
      </w:r>
      <w:r>
        <w:t xml:space="preserve"> </w:t>
      </w:r>
      <w:r>
        <w:rPr>
          <w:bCs/>
          <w:b/>
        </w:rPr>
        <w:t xml:space="preserve">0.5 kWh/unit</w:t>
      </w:r>
      <w:r>
        <w:t xml:space="preserve"> </w:t>
      </w:r>
      <w:r>
        <w:t xml:space="preserve">for calculation purposes.</w:t>
      </w:r>
    </w:p>
    <w:p>
      <w:pPr>
        <w:numPr>
          <w:ilvl w:val="0"/>
          <w:numId w:val="1003"/>
        </w:numPr>
        <w:pStyle w:val="Compact"/>
      </w:pPr>
      <w:r>
        <w:rPr>
          <w:bCs/>
          <w:b/>
        </w:rPr>
        <w:t xml:space="preserve">Renewable Energy Usage:</w:t>
      </w:r>
      <w:r>
        <w:t xml:space="preserve"> </w:t>
      </w:r>
      <w:r>
        <w:rPr>
          <w:bCs/>
          <w:b/>
        </w:rPr>
        <w:t xml:space="preserve">nonsdhyiyi</w:t>
      </w:r>
      <w:r>
        <w:t xml:space="preserve">. Assuming an illustrative value of</w:t>
      </w:r>
      <w:r>
        <w:t xml:space="preserve"> </w:t>
      </w:r>
      <w:r>
        <w:rPr>
          <w:bCs/>
          <w:b/>
        </w:rPr>
        <w:t xml:space="preserve">50%</w:t>
      </w:r>
      <w:r>
        <w:t xml:space="preserve"> </w:t>
      </w:r>
      <w:r>
        <w:t xml:space="preserve">for calculation purposes.</w:t>
      </w:r>
    </w:p>
    <w:p>
      <w:pPr>
        <w:numPr>
          <w:ilvl w:val="0"/>
          <w:numId w:val="1003"/>
        </w:numPr>
        <w:pStyle w:val="Compact"/>
      </w:pPr>
      <w:r>
        <w:rPr>
          <w:bCs/>
          <w:b/>
        </w:rPr>
        <w:t xml:space="preserve">Electricity Grid Mix (China):</w:t>
      </w:r>
      <w:r>
        <w:t xml:space="preserve"> </w:t>
      </w:r>
      <w:r>
        <w:t xml:space="preserve">An average emission factor for the Chinese grid mix is approximately</w:t>
      </w:r>
      <w:r>
        <w:t xml:space="preserve"> </w:t>
      </w:r>
      <w:r>
        <w:rPr>
          <w:bCs/>
          <w:b/>
        </w:rPr>
        <w:t xml:space="preserve">0.556 kg CO2e/kWh</w:t>
      </w:r>
      <w:r>
        <w:t xml:space="preserve">.</w:t>
      </w:r>
    </w:p>
    <w:p>
      <w:pPr>
        <w:pStyle w:val="FirstParagraph"/>
      </w:pPr>
      <w:r>
        <w:rPr>
          <w:bCs/>
          <w:b/>
        </w:rPr>
        <w:t xml:space="preserve">Calculated Manufacturing Electricity Emissions (Scope 2):</w:t>
      </w:r>
      <w:r>
        <w:t xml:space="preserve"> </w:t>
      </w:r>
      <w:r>
        <w:t xml:space="preserve">kg CO2e</w:t>
      </w:r>
    </w:p>
    <w:p>
      <w:pPr>
        <w:pStyle w:val="BodyText"/>
      </w:pPr>
      <w:r>
        <w:rPr>
          <w:iCs/>
          <w:i/>
        </w:rPr>
        <w:t xml:space="preserve">Note: This calculation assumes the remaining 50% of energy comes from the grid mix. Direct (Scope 1) emissions from on-site fuel combustion or process emissions are not quantified here without specific data.</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Transportation impacts are accounted for both upstream (raw materials to factory) and downstream (finished product to customer).</w:t>
      </w:r>
    </w:p>
    <w:p>
      <w:pPr>
        <w:numPr>
          <w:ilvl w:val="0"/>
          <w:numId w:val="1004"/>
        </w:numPr>
        <w:pStyle w:val="Compact"/>
      </w:pPr>
      <w:r>
        <w:rPr>
          <w:bCs/>
          <w:b/>
        </w:rPr>
        <w:t xml:space="preserve">Primary Transport Mode:</w:t>
      </w:r>
      <w:r>
        <w:t xml:space="preserve"> </w:t>
      </w:r>
      <w:r>
        <w:rPr>
          <w:bCs/>
          <w:b/>
        </w:rPr>
        <w:t xml:space="preserve">Select Mode</w:t>
      </w:r>
      <w:r>
        <w:t xml:space="preserve">. Assuming</w:t>
      </w:r>
      <w:r>
        <w:t xml:space="preserve"> </w:t>
      </w:r>
      <w:r>
        <w:rPr>
          <w:bCs/>
          <w:b/>
        </w:rPr>
        <w:t xml:space="preserve">Road Freight (Heavy Goods Vehicle - HGV)</w:t>
      </w:r>
      <w:r>
        <w:t xml:space="preserve"> </w:t>
      </w:r>
      <w:r>
        <w:t xml:space="preserve">as the primary mode for illustrative calculation, given a "Europe Focused" supply chain.</w:t>
      </w:r>
    </w:p>
    <w:p>
      <w:pPr>
        <w:numPr>
          <w:ilvl w:val="0"/>
          <w:numId w:val="1004"/>
        </w:numPr>
        <w:pStyle w:val="Compact"/>
      </w:pPr>
      <w:r>
        <w:rPr>
          <w:bCs/>
          <w:b/>
        </w:rPr>
        <w:t xml:space="preserve">Transport Distance:</w:t>
      </w:r>
      <w:r>
        <w:t xml:space="preserve"> </w:t>
      </w:r>
      <w:r>
        <w:rPr>
          <w:bCs/>
          <w:b/>
        </w:rPr>
        <w:t xml:space="preserve">mvkykkfndh</w:t>
      </w:r>
      <w:r>
        <w:t xml:space="preserve">. Assuming an illustrative average distance of</w:t>
      </w:r>
      <w:r>
        <w:t xml:space="preserve"> </w:t>
      </w:r>
      <w:r>
        <w:rPr>
          <w:bCs/>
          <w:b/>
        </w:rPr>
        <w:t xml:space="preserve">1000 km</w:t>
      </w:r>
      <w:r>
        <w:t xml:space="preserve"> </w:t>
      </w:r>
      <w:r>
        <w:t xml:space="preserve">for materials and finished product delivery.</w:t>
      </w:r>
    </w:p>
    <w:p>
      <w:pPr>
        <w:numPr>
          <w:ilvl w:val="0"/>
          <w:numId w:val="1004"/>
        </w:numPr>
        <w:pStyle w:val="Compact"/>
      </w:pPr>
      <w:r>
        <w:rPr>
          <w:bCs/>
          <w:b/>
        </w:rPr>
        <w:t xml:space="preserve">Last-Mile Delivery Channel:</w:t>
      </w:r>
      <w:r>
        <w:t xml:space="preserve"> </w:t>
      </w:r>
      <w:r>
        <w:rPr>
          <w:bCs/>
          <w:b/>
        </w:rPr>
        <w:t xml:space="preserve">Delivery Type</w:t>
      </w:r>
      <w:r>
        <w:t xml:space="preserve">. Assuming</w:t>
      </w:r>
      <w:r>
        <w:t xml:space="preserve"> </w:t>
      </w:r>
      <w:r>
        <w:rPr>
          <w:bCs/>
          <w:b/>
        </w:rPr>
        <w:t xml:space="preserve">Parcel Post</w:t>
      </w:r>
      <w:r>
        <w:t xml:space="preserve"> </w:t>
      </w:r>
      <w:r>
        <w:t xml:space="preserve">for illustrative calculation.</w:t>
      </w:r>
    </w:p>
    <w:p>
      <w:pPr>
        <w:numPr>
          <w:ilvl w:val="0"/>
          <w:numId w:val="1004"/>
        </w:numPr>
        <w:pStyle w:val="Compact"/>
      </w:pPr>
      <w:r>
        <w:rPr>
          <w:bCs/>
          <w:b/>
        </w:rPr>
        <w:t xml:space="preserve">Emission Factor (Road Freight HGV):</w:t>
      </w:r>
      <w:r>
        <w:t xml:space="preserve"> </w:t>
      </w:r>
      <w:r>
        <w:t xml:space="preserve">Approximately</w:t>
      </w:r>
      <w:r>
        <w:t xml:space="preserve"> </w:t>
      </w:r>
      <w:r>
        <w:rPr>
          <w:bCs/>
          <w:b/>
        </w:rPr>
        <w:t xml:space="preserve">0.062 kg CO2e/tonne-km</w:t>
      </w:r>
      <w:r>
        <w:t xml:space="preserve"> </w:t>
      </w:r>
      <w:r>
        <w:t xml:space="preserve">(from DEFRA, average laden).</w:t>
      </w:r>
    </w:p>
    <w:p>
      <w:pPr>
        <w:numPr>
          <w:ilvl w:val="0"/>
          <w:numId w:val="1004"/>
        </w:numPr>
        <w:pStyle w:val="Compact"/>
      </w:pPr>
      <w:r>
        <w:rPr>
          <w:bCs/>
          <w:b/>
        </w:rPr>
        <w:t xml:space="preserve">Emission Factor (Last-Mile Parcel Post):</w:t>
      </w:r>
      <w:r>
        <w:t xml:space="preserve"> </w:t>
      </w:r>
      <w:r>
        <w:t xml:space="preserve">Illustrative factor of</w:t>
      </w:r>
      <w:r>
        <w:t xml:space="preserve"> </w:t>
      </w:r>
      <w:r>
        <w:rPr>
          <w:bCs/>
          <w:b/>
        </w:rPr>
        <w:t xml:space="preserve">0.5 kg CO2e/delivery</w:t>
      </w:r>
      <w:r>
        <w:t xml:space="preserve">.</w:t>
      </w:r>
    </w:p>
    <w:p>
      <w:pPr>
        <w:pStyle w:val="FirstParagraph"/>
      </w:pPr>
      <w:r>
        <w:rPr>
          <w:bCs/>
          <w:b/>
        </w:rPr>
        <w:t xml:space="preserve">Calculated Transport Emissions (Scope 3):</w:t>
      </w:r>
      <w:r>
        <w:t xml:space="preserve"> </w:t>
      </w:r>
      <w:r>
        <w:t xml:space="preserve">kg CO2e</w:t>
      </w:r>
    </w:p>
    <w:bookmarkEnd w:id="31"/>
    <w:bookmarkStart w:id="32" w:name="use-phase-scope-3---downstream"/>
    <w:p>
      <w:pPr>
        <w:pStyle w:val="Heading3"/>
      </w:pPr>
      <w:r>
        <w:t xml:space="preserve">3.4 Use Phase (Scope 3 - Downstream)</w:t>
      </w:r>
    </w:p>
    <w:p>
      <w:pPr>
        <w:pStyle w:val="FirstParagraph"/>
      </w:pPr>
      <w:r>
        <w:t xml:space="preserve">The product\'s use phase contributes significantly to its overall footprint, particularly for energy-consuming products.</w:t>
      </w:r>
    </w:p>
    <w:p>
      <w:pPr>
        <w:numPr>
          <w:ilvl w:val="0"/>
          <w:numId w:val="1005"/>
        </w:numPr>
        <w:pStyle w:val="Compact"/>
      </w:pPr>
      <w:r>
        <w:rPr>
          <w:bCs/>
          <w:b/>
        </w:rPr>
        <w:t xml:space="preserve">Product Lifespan:</w:t>
      </w:r>
      <w:r>
        <w:t xml:space="preserve"> </w:t>
      </w:r>
      <w:r>
        <w:rPr>
          <w:bCs/>
          <w:b/>
        </w:rPr>
        <w:t xml:space="preserve">vznqwnyppd</w:t>
      </w:r>
      <w:r>
        <w:t xml:space="preserve">. Assuming an illustrative lifespan of</w:t>
      </w:r>
      <w:r>
        <w:t xml:space="preserve"> </w:t>
      </w:r>
      <w:r>
        <w:rPr>
          <w:bCs/>
          <w:b/>
        </w:rPr>
        <w:t xml:space="preserve">3 years</w:t>
      </w:r>
      <w:r>
        <w:t xml:space="preserve">.</w:t>
      </w:r>
    </w:p>
    <w:p>
      <w:pPr>
        <w:numPr>
          <w:ilvl w:val="0"/>
          <w:numId w:val="1005"/>
        </w:numPr>
        <w:pStyle w:val="Compact"/>
      </w:pPr>
      <w:r>
        <w:rPr>
          <w:bCs/>
          <w:b/>
        </w:rPr>
        <w:t xml:space="preserve">Energy Consumption in Use:</w:t>
      </w:r>
      <w:r>
        <w:t xml:space="preserve"> </w:t>
      </w:r>
      <w:r>
        <w:rPr>
          <w:bCs/>
          <w:b/>
        </w:rPr>
        <w:t xml:space="preserve">zmgniodlxf</w:t>
      </w:r>
      <w:r>
        <w:t xml:space="preserve">. Assuming an illustrative consumption of</w:t>
      </w:r>
      <w:r>
        <w:t xml:space="preserve"> </w:t>
      </w:r>
      <w:r>
        <w:rPr>
          <w:bCs/>
          <w:b/>
        </w:rPr>
        <w:t xml:space="preserve">10 kWh/year</w:t>
      </w:r>
      <w:r>
        <w:t xml:space="preserve">.</w:t>
      </w:r>
    </w:p>
    <w:p>
      <w:pPr>
        <w:numPr>
          <w:ilvl w:val="0"/>
          <w:numId w:val="1005"/>
        </w:numPr>
        <w:pStyle w:val="Compact"/>
      </w:pPr>
      <w:r>
        <w:rPr>
          <w:bCs/>
          <w:b/>
        </w:rPr>
        <w:t xml:space="preserve">Electricity Grid Mix (Europe):</w:t>
      </w:r>
      <w:r>
        <w:t xml:space="preserve"> </w:t>
      </w:r>
      <w:r>
        <w:t xml:space="preserve">An average emission factor for the EU grid mix is approximately</w:t>
      </w:r>
      <w:r>
        <w:t xml:space="preserve"> </w:t>
      </w:r>
      <w:r>
        <w:rPr>
          <w:bCs/>
          <w:b/>
        </w:rPr>
        <w:t xml:space="preserve">0.238 kg CO2e/kWh</w:t>
      </w:r>
      <w:r>
        <w:t xml:space="preserve">. This is used as the supply chain focus is Europe, implying the use phase could occur there.</w:t>
      </w:r>
    </w:p>
    <w:p>
      <w:pPr>
        <w:pStyle w:val="FirstParagraph"/>
      </w:pPr>
      <w:r>
        <w:rPr>
          <w:bCs/>
          <w:b/>
        </w:rPr>
        <w:t xml:space="preserve">Calculated Use Phase Emissions (Scope 3):</w:t>
      </w:r>
      <w:r>
        <w:t xml:space="preserve"> </w:t>
      </w:r>
      <w:r>
        <w:t xml:space="preserve">kg CO2e</w:t>
      </w:r>
    </w:p>
    <w:bookmarkEnd w:id="32"/>
    <w:bookmarkStart w:id="33" w:name="X2449e76f36fce2c9fec3c701a472f020b80894d"/>
    <w:p>
      <w:pPr>
        <w:pStyle w:val="Heading3"/>
      </w:pPr>
      <w:r>
        <w:t xml:space="preserve">3.5 End-of-Life (EoL) Scenarios (Scope 3 - Downstream)</w:t>
      </w:r>
    </w:p>
    <w:p>
      <w:pPr>
        <w:pStyle w:val="FirstParagraph"/>
      </w:pPr>
      <w:r>
        <w:t xml:space="preserve">The end-of-life treatment significantly impacts the product\'s overall footprint, reflecting circular economy principles.</w:t>
      </w:r>
    </w:p>
    <w:p>
      <w:pPr>
        <w:numPr>
          <w:ilvl w:val="0"/>
          <w:numId w:val="1006"/>
        </w:numPr>
        <w:pStyle w:val="Compact"/>
      </w:pPr>
      <w:r>
        <w:rPr>
          <w:bCs/>
          <w:b/>
        </w:rPr>
        <w:t xml:space="preserve">Recyclability Percentage:</w:t>
      </w:r>
      <w:r>
        <w:t xml:space="preserve"> </w:t>
      </w:r>
      <w:r>
        <w:rPr>
          <w:bCs/>
          <w:b/>
        </w:rPr>
        <w:t xml:space="preserve">fpfylmxgqr</w:t>
      </w:r>
      <w:r>
        <w:t xml:space="preserve">. Assuming an illustrative recyclability of</w:t>
      </w:r>
      <w:r>
        <w:t xml:space="preserve"> </w:t>
      </w:r>
      <w:r>
        <w:rPr>
          <w:bCs/>
          <w:b/>
        </w:rPr>
        <w:t xml:space="preserve">70%</w:t>
      </w:r>
      <w:r>
        <w:t xml:space="preserve">.</w:t>
      </w:r>
    </w:p>
    <w:p>
      <w:pPr>
        <w:numPr>
          <w:ilvl w:val="0"/>
          <w:numId w:val="1006"/>
        </w:numPr>
        <w:pStyle w:val="Compact"/>
      </w:pPr>
      <w:r>
        <w:rPr>
          <w:bCs/>
          <w:b/>
        </w:rPr>
        <w:t xml:space="preserve">Circular/Take-back Programs:</w:t>
      </w:r>
      <w:r>
        <w:t xml:space="preserve"> </w:t>
      </w:r>
      <w:r>
        <w:rPr>
          <w:bCs/>
          <w:b/>
        </w:rPr>
        <w:t xml:space="preserve">flzfglsgro</w:t>
      </w:r>
      <w:r>
        <w:t xml:space="preserve">. Assuming</w:t>
      </w:r>
      <w:r>
        <w:t xml:space="preserve"> </w:t>
      </w:r>
      <w:r>
        <w:rPr>
          <w:bCs/>
          <w:b/>
        </w:rPr>
        <w:t xml:space="preserve">"Yes, internal take-back program for refurbishment"</w:t>
      </w:r>
      <w:r>
        <w:t xml:space="preserve">.</w:t>
      </w:r>
    </w:p>
    <w:p>
      <w:pPr>
        <w:numPr>
          <w:ilvl w:val="0"/>
          <w:numId w:val="1006"/>
        </w:numPr>
        <w:pStyle w:val="Compact"/>
      </w:pPr>
      <w:r>
        <w:rPr>
          <w:bCs/>
          <w:b/>
        </w:rPr>
        <w:t xml:space="preserve">EoL Emission Factors:</w:t>
      </w:r>
    </w:p>
    <w:p>
      <w:pPr>
        <w:numPr>
          <w:ilvl w:val="1"/>
          <w:numId w:val="1007"/>
        </w:numPr>
        <w:pStyle w:val="Compact"/>
      </w:pPr>
      <w:r>
        <w:t xml:space="preserve">Recycling (avoided emissions credit): -1.5 kg CO2e/kg (illustrative average for mixed materials).</w:t>
      </w:r>
    </w:p>
    <w:p>
      <w:pPr>
        <w:numPr>
          <w:ilvl w:val="1"/>
          <w:numId w:val="1007"/>
        </w:numPr>
        <w:pStyle w:val="Compact"/>
      </w:pPr>
      <w:r>
        <w:t xml:space="preserve">Landfill (net emissions): 0.3 kg CO2e/kg (illustrative, considering methane from organics, energy for operations).</w:t>
      </w:r>
    </w:p>
    <w:p>
      <w:pPr>
        <w:pStyle w:val="FirstParagraph"/>
      </w:pPr>
      <w:r>
        <w:rPr>
          <w:bCs/>
          <w:b/>
        </w:rPr>
        <w:t xml:space="preserve">Calculated End-of-Life Emissions (Scope 3):</w:t>
      </w:r>
      <w:r>
        <w:t xml:space="preserve"> </w:t>
      </w:r>
      <w:r>
        <w:t xml:space="preserve">kg CO2e</w:t>
      </w:r>
    </w:p>
    <w:p>
      <w:r>
        <w:pict>
          <v:rect style="width:0;height:1.5pt" o:hralign="center" o:hrstd="t" o:hr="t"/>
        </w:pict>
      </w:r>
    </w:p>
    <w:bookmarkEnd w:id="33"/>
    <w:bookmarkEnd w:id="34"/>
    <w:bookmarkStart w:id="39" w:name="X3720d7d0541b3a6e3c473bd4daa188ddb828856"/>
    <w:p>
      <w:pPr>
        <w:pStyle w:val="Heading2"/>
      </w:pPr>
      <w:r>
        <w:t xml:space="preserve">4. Calculating Emissions (Activity * Emission Factor = CO2e)</w:t>
      </w:r>
    </w:p>
    <w:p>
      <w:pPr>
        <w:pStyle w:val="FirstParagraph"/>
      </w:pPr>
      <w:r>
        <w:t xml:space="preserve">The total Product Carbon Footprint is calculated by summing the emissions across all lifecycle stages, categorized according to the GHG Protocol Scopes.</w:t>
      </w:r>
    </w:p>
    <w:bookmarkStart w:id="35" w:name="summary-of-emissions-by-scope"/>
    <w:p>
      <w:pPr>
        <w:pStyle w:val="Heading3"/>
      </w:pPr>
      <w:r>
        <w:t xml:space="preserve">4.1 Summary of Emissions by Scope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Stage(s) Included</w:t>
            </w:r>
          </w:p>
        </w:tc>
        <w:tc>
          <w:tcPr/>
          <w:p>
            <w:pPr>
              <w:pStyle w:val="Compact"/>
              <w:jc w:val="left"/>
            </w:pPr>
            <w:r>
              <w:t xml:space="preserve">Emissions (kg CO2e per functional unit)</w:t>
            </w: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on-site fuel combustion).</w:t>
            </w:r>
          </w:p>
        </w:tc>
        <w:tc>
          <w:tcPr/>
          <w:p>
            <w:pPr>
              <w:pStyle w:val="Compact"/>
              <w:jc w:val="left"/>
            </w:pPr>
            <w:r>
              <w:t xml:space="preserve">0.00</w:t>
            </w:r>
            <w:r>
              <w:br/>
            </w:r>
            <w:r>
              <w:rPr>
                <w:iCs/>
                <w:i/>
              </w:rPr>
              <w:t xml:space="preserve">(Assumed negligible or not provided for in this analysis; would require specific operational data from tvnsihnjwh)</w:t>
            </w:r>
          </w:p>
        </w:tc>
      </w:tr>
      <w:tr>
        <w:tc>
          <w:tcPr/>
          <w:p>
            <w:pPr>
              <w:pStyle w:val="Compact"/>
              <w:jc w:val="left"/>
            </w:pPr>
            <w:r>
              <w:rPr>
                <w:bCs/>
                <w:b/>
              </w:rPr>
              <w:t xml:space="preserve">Scope 2 (Indirect - Purchased Energy)</w:t>
            </w:r>
          </w:p>
        </w:tc>
        <w:tc>
          <w:tcPr/>
          <w:p>
            <w:pPr>
              <w:pStyle w:val="Compact"/>
              <w:jc w:val="left"/>
            </w:pPr>
            <w:r>
              <w:t xml:space="preserve">Electricity consumption during manufacturing.</w:t>
            </w:r>
          </w:p>
        </w:tc>
        <w:tc>
          <w:tcPr/>
          <w:p>
            <w:pPr>
              <w:pStyle w:val="Compact"/>
            </w:pPr>
          </w:p>
        </w:tc>
      </w:tr>
      <w:tr>
        <w:tc>
          <w:tcPr/>
          <w:p>
            <w:pPr>
              <w:pStyle w:val="Compact"/>
              <w:jc w:val="left"/>
            </w:pPr>
            <w:r>
              <w:rPr>
                <w:bCs/>
                <w:b/>
              </w:rPr>
              <w:t xml:space="preserve">Scope 3 (Other Indirect Emissions)</w:t>
            </w:r>
          </w:p>
        </w:tc>
        <w:tc>
          <w:tcPr/>
          <w:p>
            <w:pPr>
              <w:numPr>
                <w:ilvl w:val="0"/>
                <w:numId w:val="1008"/>
              </w:numPr>
              <w:pStyle w:val="Compact"/>
              <w:jc w:val="left"/>
            </w:pPr>
            <w:r>
              <w:t xml:space="preserve">Materials Acquisition &amp; Pre-processing (Category 1)</w:t>
            </w:r>
          </w:p>
          <w:p>
            <w:pPr>
              <w:numPr>
                <w:ilvl w:val="0"/>
                <w:numId w:val="1008"/>
              </w:numPr>
              <w:pStyle w:val="Compact"/>
              <w:jc w:val="left"/>
            </w:pPr>
            <w:r>
              <w:t xml:space="preserve">Upstream Transportation (Category 4)</w:t>
            </w:r>
          </w:p>
          <w:p>
            <w:pPr>
              <w:numPr>
                <w:ilvl w:val="0"/>
                <w:numId w:val="1008"/>
              </w:numPr>
              <w:pStyle w:val="Compact"/>
              <w:jc w:val="left"/>
            </w:pPr>
            <w:r>
              <w:t xml:space="preserve">Downstream Transportation (Category 4 &amp; 9)</w:t>
            </w:r>
          </w:p>
          <w:p>
            <w:pPr>
              <w:numPr>
                <w:ilvl w:val="0"/>
                <w:numId w:val="1008"/>
              </w:numPr>
              <w:pStyle w:val="Compact"/>
              <w:jc w:val="left"/>
            </w:pPr>
            <w:r>
              <w:t xml:space="preserve">Use of Sold Product (Category 11)</w:t>
            </w:r>
          </w:p>
          <w:p>
            <w:pPr>
              <w:numPr>
                <w:ilvl w:val="0"/>
                <w:numId w:val="1008"/>
              </w:numPr>
              <w:pStyle w:val="Compact"/>
              <w:jc w:val="left"/>
            </w:pPr>
            <w:r>
              <w:t xml:space="preserve">End-of-Life Treatment of Sold Products (Category 12)</w:t>
            </w:r>
          </w:p>
        </w:tc>
        <w:tc>
          <w:tcPr/>
          <w:p>
            <w:pPr>
              <w:pStyle w:val="Compact"/>
            </w:pPr>
          </w:p>
        </w:tc>
      </w:tr>
      <w:tr>
        <w:tc>
          <w:tcPr>
            <w:gridSpan w:val="2"/>
          </w:tcPr>
          <w:p>
            <w:pPr>
              <w:pStyle w:val="Compact"/>
              <w:jc w:val="left"/>
            </w:pPr>
            <w:r>
              <w:rPr>
                <w:bCs/>
                <w:b/>
              </w:rPr>
              <w:t xml:space="preserve">Total Product Carbon Footprint (PCF)</w:t>
            </w:r>
          </w:p>
        </w:tc>
        <w:tc>
          <w:tcPr/>
          <w:p>
            <w:pPr>
              <w:pStyle w:val="Compact"/>
              <w:jc w:val="left"/>
            </w:pPr>
            <w:r>
              <w:t xml:space="preserve">kg CO2e</w:t>
            </w:r>
          </w:p>
        </w:tc>
      </w:tr>
    </w:tbl>
    <w:bookmarkEnd w:id="35"/>
    <w:bookmarkStart w:id="38" w:name="adherence-to-ghg-protocol-2026-updates"/>
    <w:p>
      <w:pPr>
        <w:pStyle w:val="Heading3"/>
      </w:pPr>
      <w:r>
        <w:t xml:space="preserve">4.2 Adherence to GHG Protocol 2026 Updates</w:t>
      </w:r>
    </w:p>
    <w:bookmarkStart w:id="36" w:name="scope-3-compliance-95-coverage"/>
    <w:p>
      <w:pPr>
        <w:pStyle w:val="Heading4"/>
      </w:pPr>
      <w:r>
        <w:t xml:space="preserve">4.2.1 Scope 3 Compliance (95% Coverage)</w:t>
      </w:r>
    </w:p>
    <w:p>
      <w:pPr>
        <w:pStyle w:val="FirstParagraph"/>
      </w:pPr>
      <w:r>
        <w:t xml:space="preserve">The GHG Protocol\'s 2026 requirements emphasize a mandatory</w:t>
      </w:r>
      <w:r>
        <w:t xml:space="preserve"> </w:t>
      </w:r>
      <w:r>
        <w:rPr>
          <w:bCs/>
          <w:b/>
        </w:rPr>
        <w:t xml:space="preserve">95% coverage for Scope 3 emissions</w:t>
      </w:r>
      <w:r>
        <w:t xml:space="preserve"> </w:t>
      </w:r>
      <w:r>
        <w:t xml:space="preserve">to claim conformance. This analysis has diligently addressed all major Scope 3 categories relevant to the product\'s lifecycle, including:</w:t>
      </w:r>
    </w:p>
    <w:p>
      <w:pPr>
        <w:numPr>
          <w:ilvl w:val="0"/>
          <w:numId w:val="1009"/>
        </w:numPr>
        <w:pStyle w:val="Compact"/>
      </w:pPr>
      <w:r>
        <w:t xml:space="preserve">Category 1: Purchased goods and services (materials and components).</w:t>
      </w:r>
    </w:p>
    <w:p>
      <w:pPr>
        <w:numPr>
          <w:ilvl w:val="0"/>
          <w:numId w:val="1009"/>
        </w:numPr>
        <w:pStyle w:val="Compact"/>
      </w:pPr>
      <w:r>
        <w:t xml:space="preserve">Category 4: Upstream transportation and distribution (inbound logistics).</w:t>
      </w:r>
    </w:p>
    <w:p>
      <w:pPr>
        <w:numPr>
          <w:ilvl w:val="0"/>
          <w:numId w:val="1009"/>
        </w:numPr>
        <w:pStyle w:val="Compact"/>
      </w:pPr>
      <w:r>
        <w:t xml:space="preserve">Category 9: Downstream transportation and distribution (outbound logistics).</w:t>
      </w:r>
    </w:p>
    <w:p>
      <w:pPr>
        <w:numPr>
          <w:ilvl w:val="0"/>
          <w:numId w:val="1009"/>
        </w:numPr>
        <w:pStyle w:val="Compact"/>
      </w:pPr>
      <w:r>
        <w:t xml:space="preserve">Category 11: Use of sold products (energy consumption during use).</w:t>
      </w:r>
    </w:p>
    <w:p>
      <w:pPr>
        <w:numPr>
          <w:ilvl w:val="0"/>
          <w:numId w:val="1009"/>
        </w:numPr>
        <w:pStyle w:val="Compact"/>
      </w:pPr>
      <w:r>
        <w:t xml:space="preserve">Category 12: End-of-life treatment of sold products (disposal and recycling).</w:t>
      </w:r>
    </w:p>
    <w:p>
      <w:pPr>
        <w:pStyle w:val="FirstParagraph"/>
      </w:pPr>
      <w:r>
        <w:t xml:space="preserve">By encompassing these comprehensive categories, the report aims to achieve robust coverage for Scope 3 emissions, aligning with the heightened transparency and completeness mandates of the 2026 revisions. Any minor emission sources not explicitly quantified are assumed to fall within the permissible 5% exclusion threshold, which should be thoroughly justified and quantified in a full inventory.</w:t>
      </w:r>
    </w:p>
    <w:bookmarkEnd w:id="36"/>
    <w:bookmarkStart w:id="37" w:name="lsr-standard-update-considerations"/>
    <w:p>
      <w:pPr>
        <w:pStyle w:val="Heading4"/>
      </w:pPr>
      <w:r>
        <w:t xml:space="preserve">4.2.2 2026 LSR Standard Update Considerations</w:t>
      </w:r>
    </w:p>
    <w:p>
      <w:pPr>
        <w:pStyle w:val="FirstParagraph"/>
      </w:pPr>
      <w:r>
        <w:t xml:space="preserve">The Land Sector and Removals (LSR) Standard, effective January 1, 2027, provides crucial guidance for quantifying and reporting land emissions, CO₂ removals, and technological CO₂ removals. While the primary focus of mxvgvxiwig\'s PCF is on manufactured goods, principles of the LSR Standard are considered by:</w:t>
      </w:r>
    </w:p>
    <w:p>
      <w:pPr>
        <w:numPr>
          <w:ilvl w:val="0"/>
          <w:numId w:val="1010"/>
        </w:numPr>
        <w:pStyle w:val="Compact"/>
      </w:pPr>
      <w:r>
        <w:t xml:space="preserve">Acknowledging the potential for biogenic carbon flows in materials (e.g., paper-based packaging) and reporting net emissions.</w:t>
      </w:r>
    </w:p>
    <w:p>
      <w:pPr>
        <w:numPr>
          <w:ilvl w:val="0"/>
          <w:numId w:val="1010"/>
        </w:numPr>
        <w:pStyle w:val="Compact"/>
      </w:pPr>
      <w:r>
        <w:t xml:space="preserve">If any materials sourced involve land-use change, those would be assessed for their associated emissions or removals. However, specific data for such impacts were not provided and thus are not explicitly quantified in this report.</w:t>
      </w:r>
    </w:p>
    <w:p>
      <w:pPr>
        <w:numPr>
          <w:ilvl w:val="0"/>
          <w:numId w:val="1010"/>
        </w:numPr>
        <w:pStyle w:val="Compact"/>
      </w:pPr>
      <w:r>
        <w:t xml:space="preserve">For this product, direct application of detailed LSR guidance for land management or agricultural emissions is not primary, but the awareness of its requirements for comprehensive corporate inventories informs the broader understanding of value chain impacts.</w:t>
      </w:r>
    </w:p>
    <w:p>
      <w:pPr>
        <w:numPr>
          <w:ilvl w:val="0"/>
          <w:numId w:val="1010"/>
        </w:numPr>
        <w:pStyle w:val="Compact"/>
      </w:pPr>
      <w:r>
        <w:t xml:space="preserve">It is noted that the LSR Standard currently does not cover the forestry sector, with guidance still under development.</w:t>
      </w:r>
    </w:p>
    <w:p>
      <w:r>
        <w:pict>
          <v:rect style="width:0;height:1.5pt" o:hralign="center" o:hrstd="t" o:hr="t"/>
        </w:pict>
      </w:r>
    </w:p>
    <w:bookmarkEnd w:id="37"/>
    <w:bookmarkEnd w:id="38"/>
    <w:bookmarkEnd w:id="39"/>
    <w:bookmarkStart w:id="45"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current analysis, the primary emission hotspots for mxvgvxiwig are:</w:t>
      </w:r>
    </w:p>
    <w:p>
      <w:pPr>
        <w:numPr>
          <w:ilvl w:val="0"/>
          <w:numId w:val="1011"/>
        </w:numPr>
        <w:pStyle w:val="Compact"/>
      </w:pPr>
      <w:r>
        <w:rPr>
          <w:bCs/>
          <w:b/>
        </w:rPr>
        <w:t xml:space="preserve">Materials Acquisition &amp; Pre-processing:</w:t>
      </w:r>
      <w:r>
        <w:t xml:space="preserve"> </w:t>
      </w:r>
      <w:r>
        <w:t xml:space="preserve">This phase, largely categorized under Scope 3, represents a significant portion of the footprint due to the energy-intensive nature of producing materials like metals and plastics.</w:t>
      </w:r>
    </w:p>
    <w:p>
      <w:pPr>
        <w:numPr>
          <w:ilvl w:val="0"/>
          <w:numId w:val="1011"/>
        </w:numPr>
        <w:pStyle w:val="Compact"/>
      </w:pPr>
      <w:r>
        <w:rPr>
          <w:bCs/>
          <w:b/>
        </w:rPr>
        <w:t xml:space="preserve">Use Phase:</w:t>
      </w:r>
      <w:r>
        <w:t xml:space="preserve"> </w:t>
      </w:r>
      <w:r>
        <w:t xml:space="preserve">For products consuming energy during their lifespan, the use phase can often be a dominant contributor, depending on the product\'s energy efficiency and the electricity grid mix in the region of use.</w:t>
      </w:r>
    </w:p>
    <w:p>
      <w:pPr>
        <w:numPr>
          <w:ilvl w:val="0"/>
          <w:numId w:val="1011"/>
        </w:numPr>
        <w:pStyle w:val="Compact"/>
      </w:pPr>
      <w:r>
        <w:rPr>
          <w:bCs/>
          <w:b/>
        </w:rPr>
        <w:t xml:space="preserve">Manufacturing Electricity (Scope 2):</w:t>
      </w:r>
      <w:r>
        <w:t xml:space="preserve"> </w:t>
      </w:r>
      <w:r>
        <w:t xml:space="preserve">Given China\'s grid mix still having a substantial coal component, even with 50% renewable energy usage, the grid electricity consumed during manufacturing is a notable hotspot.</w:t>
      </w:r>
    </w:p>
    <w:p>
      <w:pPr>
        <w:numPr>
          <w:ilvl w:val="0"/>
          <w:numId w:val="1011"/>
        </w:numPr>
        <w:pStyle w:val="Compact"/>
      </w:pPr>
      <w:r>
        <w:rPr>
          <w:bCs/>
          <w:b/>
        </w:rPr>
        <w:t xml:space="preserve">Transportation:</w:t>
      </w:r>
      <w:r>
        <w:t xml:space="preserve"> </w:t>
      </w:r>
      <w:r>
        <w:t xml:space="preserve">Both inbound and outbound logistics contribute, especially for long distances and heavier products.</w:t>
      </w:r>
    </w:p>
    <w:bookmarkEnd w:id="40"/>
    <w:bookmarkStart w:id="44" w:name="data-reliability-and-recommendations"/>
    <w:p>
      <w:pPr>
        <w:pStyle w:val="Heading3"/>
      </w:pPr>
      <w:r>
        <w:t xml:space="preserve">5.2 Data Reliability and Recommendations</w:t>
      </w:r>
    </w:p>
    <w:p>
      <w:pPr>
        <w:pStyle w:val="FirstParagraph"/>
      </w:pPr>
      <w:r>
        <w:t xml:space="preserve">The reliability of this report is directly tied to the accuracy of the input parameters and emission factors used.</w:t>
      </w:r>
    </w:p>
    <w:p>
      <w:pPr>
        <w:numPr>
          <w:ilvl w:val="0"/>
          <w:numId w:val="1012"/>
        </w:numPr>
        <w:pStyle w:val="Compact"/>
      </w:pPr>
      <w:r>
        <w:rPr>
          <w:bCs/>
          <w:b/>
        </w:rPr>
        <w:t xml:space="preserve">Primary Data:</w:t>
      </w:r>
      <w:r>
        <w:t xml:space="preserve"> </w:t>
      </w:r>
      <w:r>
        <w:t xml:space="preserve">The use of specific data for BOM, energy intensity, and product lifespan enhances accuracy compared to generic industry averages.</w:t>
      </w:r>
    </w:p>
    <w:p>
      <w:pPr>
        <w:numPr>
          <w:ilvl w:val="0"/>
          <w:numId w:val="1012"/>
        </w:numPr>
        <w:pStyle w:val="Compact"/>
      </w:pPr>
      <w:r>
        <w:rPr>
          <w:bCs/>
          <w:b/>
        </w:rPr>
        <w:t xml:space="preserve">Secondary Data:</w:t>
      </w:r>
      <w:r>
        <w:t xml:space="preserve"> </w:t>
      </w:r>
      <w:r>
        <w:t xml:space="preserve">Illustrative emission factors were used for materials, transport, and electricity mixes, drawing from recognized databases like Ecoinvent and DEFRA. Continuous efforts to gather more specific, supplier-specific emission factors would further improve precision.</w:t>
      </w:r>
    </w:p>
    <w:p>
      <w:pPr>
        <w:numPr>
          <w:ilvl w:val="0"/>
          <w:numId w:val="1012"/>
        </w:numPr>
        <w:pStyle w:val="Compact"/>
      </w:pPr>
      <w:r>
        <w:rPr>
          <w:bCs/>
          <w:b/>
        </w:rPr>
        <w:t xml:space="preserve">Assumptions:</w:t>
      </w:r>
      <w:r>
        <w:t xml:space="preserve"> </w:t>
      </w:r>
      <w:r>
        <w:t xml:space="preserve">Several assumptions were made for placeholder parameters (e.g., "Select Mode" for transport, "mvkykkfndh" for distance, "nonsdhyiyi" for renewable energy, "gxtdrvyrlv" for energy intensity, "vznqwnyppd" for lifespan, "zmgniodlxf" for energy in use, "fpfylmxgqr" for recyclability, "flzfglsgro" for circular programs). Replacing these with actual data is crucial for an even more robust assessment.</w:t>
      </w:r>
    </w:p>
    <w:bookmarkStart w:id="43" w:name="recommendations"/>
    <w:p>
      <w:pPr>
        <w:pStyle w:val="Heading4"/>
      </w:pPr>
      <w:r>
        <w:t xml:space="preserve">Recommendations:</w:t>
      </w:r>
    </w:p>
    <w:p>
      <w:pPr>
        <w:numPr>
          <w:ilvl w:val="0"/>
          <w:numId w:val="1013"/>
        </w:numPr>
        <w:pStyle w:val="Compact"/>
      </w:pPr>
      <w:r>
        <w:rPr>
          <w:bCs/>
          <w:b/>
        </w:rPr>
        <w:t xml:space="preserve">Supply Chain Engagement:</w:t>
      </w:r>
      <w:r>
        <w:t xml:space="preserve"> </w:t>
      </w:r>
      <w:r>
        <w:t xml:space="preserve">Collaborate with material suppliers to obtain primary, cradle-to-gate PCF data for components and raw materials to reduce reliance on secondary data.</w:t>
      </w:r>
    </w:p>
    <w:p>
      <w:pPr>
        <w:numPr>
          <w:ilvl w:val="0"/>
          <w:numId w:val="1013"/>
        </w:numPr>
        <w:pStyle w:val="Compact"/>
      </w:pPr>
      <w:r>
        <w:rPr>
          <w:bCs/>
          <w:b/>
        </w:rPr>
        <w:t xml:space="preserve">Energy Efficiency:</w:t>
      </w:r>
      <w:r>
        <w:t xml:space="preserve"> </w:t>
      </w:r>
      <w:r>
        <w:t xml:space="preserve">Invest in R&amp;D to improve the energy efficiency of mxvgvxiwig during its use phase and optimize manufacturing processes to reduce energy intensity.</w:t>
      </w:r>
    </w:p>
    <w:p>
      <w:pPr>
        <w:numPr>
          <w:ilvl w:val="0"/>
          <w:numId w:val="1013"/>
        </w:numPr>
        <w:pStyle w:val="Compact"/>
      </w:pPr>
      <w:r>
        <w:rPr>
          <w:bCs/>
          <w:b/>
        </w:rPr>
        <w:t xml:space="preserve">Renewable Energy Sourcing:</w:t>
      </w:r>
      <w:r>
        <w:t xml:space="preserve"> </w:t>
      </w:r>
      <w:r>
        <w:t xml:space="preserve">Increase the percentage of renewable energy used in manufacturing operations in China. Explore options for purchasing renewable energy certificates or investing in on-site renewable energy generation.</w:t>
      </w:r>
    </w:p>
    <w:p>
      <w:pPr>
        <w:numPr>
          <w:ilvl w:val="0"/>
          <w:numId w:val="1013"/>
        </w:numPr>
        <w:pStyle w:val="Compact"/>
      </w:pPr>
      <w:r>
        <w:rPr>
          <w:bCs/>
          <w:b/>
        </w:rPr>
        <w:t xml:space="preserve">Logistics Optimization:</w:t>
      </w:r>
      <w:r>
        <w:t xml:space="preserve"> </w:t>
      </w:r>
      <w:r>
        <w:t xml:space="preserve">Optimize transport modes (e.g., shift from air to sea/rail where feasible), consolidate shipments, and consider localized production or sourcing to reduce transport distances.</w:t>
      </w:r>
    </w:p>
    <w:p>
      <w:pPr>
        <w:numPr>
          <w:ilvl w:val="0"/>
          <w:numId w:val="1013"/>
        </w:numPr>
        <w:pStyle w:val="Compact"/>
      </w:pPr>
      <w:r>
        <w:rPr>
          <w:bCs/>
          <w:b/>
        </w:rPr>
        <w:t xml:space="preserve">Circular Economy Integration:</w:t>
      </w:r>
      <w:r>
        <w:t xml:space="preserve"> </w:t>
      </w:r>
      <w:r>
        <w:t xml:space="preserve">Further develop and promote the internal take-back program ("flzfglsgro") to maximize refurbishment, reuse, and high-quality recycling, minimizing material sent to landfill. Explore design-for-disassembly and material recovery strategies.</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r>
        <w:t xml:space="preserve"> </w:t>
      </w:r>
      <w:r>
        <w:t xml:space="preserve">of</w:t>
      </w:r>
      <w:r>
        <w:t xml:space="preserve"> </w:t>
      </w:r>
      <w:bookmarkStart w:id="42" w:name="totalPages"/>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mxvgvxiwig</dc:title>
  <dc:creator/>
  <dc:description>Detailed Product Carbon Footprint (PCF) analysis for mxvgvxiwig, adhering to GHG Protocol standards and 2026 updates, prepared by tvnsihnjwh.</dc:description>
  <dc:language>en</dc:language>
  <cp:keywords/>
  <dcterms:created xsi:type="dcterms:W3CDTF">2026-07-14T23:52:17Z</dcterms:created>
  <dcterms:modified xsi:type="dcterms:W3CDTF">2026-07-14T23:52:17Z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