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mxtqjykqov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mxtqjykqov</w:t>
      </w:r>
    </w:p>
    <w:p>
      <w:pPr>
        <w:pStyle w:val="BodyText"/>
      </w:pPr>
      <w:r>
        <w:rPr>
          <w:bCs/>
          <w:b/>
        </w:rPr>
        <w:t xml:space="preserve">Company Name:</w:t>
      </w:r>
      <w:r>
        <w:t xml:space="preserve"> </w:t>
      </w:r>
      <w:r>
        <w:t xml:space="preserve">qrtrdvgsid</w:t>
      </w:r>
    </w:p>
    <w:p>
      <w:pPr>
        <w:pStyle w:val="BodyText"/>
      </w:pPr>
      <w:r>
        <w:rPr>
          <w:bCs/>
          <w:b/>
        </w:rPr>
        <w:t xml:space="preserve">Senior Sustainability Consultant:</w:t>
      </w:r>
      <w:r>
        <w:t xml:space="preserve"> </w:t>
      </w:r>
      <w:r>
        <w:t xml:space="preserve">foeytvqsjp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and based on assumed numerical values for certain parameters that were provided as placeholders in the input prompt. While every effort has been made to adhere to the specified methodology, actual results may vary with primary data. This report serves as a high-level assessment.</w:t>
      </w:r>
    </w:p>
    <w:bookmarkEnd w:id="20"/>
    <w:bookmarkStart w:id="21" w:name="X57f6199e653f7134b3d2faa5bc089b280150580"/>
    <w:p>
      <w:pPr>
        <w:pStyle w:val="Heading1"/>
      </w:pPr>
      <w:r>
        <w:t xml:space="preserve">Product Carbon Footprint Analysis Report: mxtqjykqov</w:t>
      </w:r>
    </w:p>
    <w:p>
      <w:pPr>
        <w:pStyle w:val="FirstParagraph"/>
      </w:pPr>
      <w:r>
        <w:rPr>
          <w:bCs/>
          <w:b/>
        </w:rPr>
        <w:t xml:space="preserve">Generated Date:</w:t>
      </w:r>
      <w:r>
        <w:t xml:space="preserve"> </w:t>
      </w:r>
      <w:r>
        <w:t xml:space="preserve">May 27, 2026</w:t>
      </w:r>
    </w:p>
    <w:p>
      <w:pPr>
        <w:pStyle w:val="BodyText"/>
      </w:pPr>
      <w:r>
        <w:rPr>
          <w:bCs/>
          <w:b/>
        </w:rPr>
        <w:t xml:space="preserve">Company Name:</w:t>
      </w:r>
      <w:r>
        <w:t xml:space="preserve"> </w:t>
      </w:r>
      <w:r>
        <w:t xml:space="preserve">qrtrdvgsid</w:t>
      </w:r>
    </w:p>
    <w:p>
      <w:pPr>
        <w:pStyle w:val="BodyText"/>
      </w:pPr>
      <w:r>
        <w:rPr>
          <w:bCs/>
          <w:b/>
        </w:rPr>
        <w:t xml:space="preserve">Senior Sustainability Consultant:</w:t>
      </w:r>
      <w:r>
        <w:t xml:space="preserve"> </w:t>
      </w:r>
      <w:r>
        <w:t xml:space="preserve">foeytvqsjp</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mxtqjykqov, manufactured by qrtrdvgsid. The analysis adheres strictly to the GHG Protocol accounting standard, incorporating the 2026 Land Sector and Removals (LSR) Standard and aiming for over 95% Scope 3 coverage. Conducted by foeytvqsjp, Senior Sustainability Consultant, this study maps the product\'s lifecycle, quantifies greenhouse gas (GHG) emissions (expressed in CO2e) from material acquisition through end-of-life, and identifies key emission hotspots.</w:t>
      </w:r>
      <w:r>
        <w:t xml:space="preserve"> </w:t>
      </w:r>
      <w:r>
        <w:t xml:space="preserve">Due to the placeholder nature of some input parameters (e.g., Bill of Materials, transport details, energy data, lifespan, and end-of-life scenarios), illustrative data has been utilized to demonstrate the methodology and calculation principles. These illustrative values are clearly identified throughout the report.</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w:t>
      </w:r>
      <w:r>
        <w:t xml:space="preserve"> </w:t>
      </w:r>
      <w:r>
        <w:rPr>
          <w:bCs/>
          <w:b/>
        </w:rPr>
        <w:t xml:space="preserve">1.0 unit of mxtqjykqov</w:t>
      </w:r>
      <w:r>
        <w:t xml:space="preserve">. This represents the quantified service or utility delivered by the product.</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a</w:t>
      </w:r>
      <w:r>
        <w:t xml:space="preserve"> </w:t>
      </w:r>
      <w:r>
        <w:rPr>
          <w:bCs/>
          <w:b/>
        </w:rPr>
        <w:t xml:space="preserve">"factory-gate"</w:t>
      </w:r>
      <w:r>
        <w:t xml:space="preserve"> </w:t>
      </w:r>
      <w:r>
        <w:t xml:space="preserve">scope. This typically includes raw material extraction, component manufacturing, and the manufacturing of the final product up to the point it leaves the factory gate. For this high-detail PCF, we extend the analysis to a "Cradle-to-Grave" approach, encompassing:</w:t>
      </w:r>
    </w:p>
    <w:p>
      <w:pPr>
        <w:numPr>
          <w:ilvl w:val="1"/>
          <w:numId w:val="1003"/>
        </w:numPr>
        <w:pStyle w:val="Compact"/>
      </w:pPr>
      <w:r>
        <w:t xml:space="preserve">Material Acquisition and Pre-processing</w:t>
      </w:r>
    </w:p>
    <w:p>
      <w:pPr>
        <w:numPr>
          <w:ilvl w:val="1"/>
          <w:numId w:val="1003"/>
        </w:numPr>
        <w:pStyle w:val="Compact"/>
      </w:pPr>
      <w:r>
        <w:t xml:space="preserve">Manufacturing (Production)</w:t>
      </w:r>
    </w:p>
    <w:p>
      <w:pPr>
        <w:numPr>
          <w:ilvl w:val="1"/>
          <w:numId w:val="1003"/>
        </w:numPr>
        <w:pStyle w:val="Compact"/>
      </w:pPr>
      <w:r>
        <w:t xml:space="preserve">Transport (Upstream supply chain and last-mile delivery)</w:t>
      </w:r>
    </w:p>
    <w:p>
      <w:pPr>
        <w:numPr>
          <w:ilvl w:val="1"/>
          <w:numId w:val="1003"/>
        </w:numPr>
        <w:pStyle w:val="Compact"/>
      </w:pPr>
      <w:r>
        <w:t xml:space="preserve">Use Phase</w:t>
      </w:r>
    </w:p>
    <w:p>
      <w:pPr>
        <w:numPr>
          <w:ilvl w:val="1"/>
          <w:numId w:val="1003"/>
        </w:numPr>
        <w:pStyle w:val="Compact"/>
      </w:pPr>
      <w:r>
        <w:t xml:space="preserve">End-of-Life Treatment</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key raw materials and components sourced from Europe for production in China).</w:t>
      </w:r>
    </w:p>
    <w:bookmarkEnd w:id="25"/>
    <w:bookmarkStart w:id="26" w:name="accounting-standard-allocation"/>
    <w:p>
      <w:pPr>
        <w:pStyle w:val="Heading3"/>
      </w:pPr>
      <w:r>
        <w:t xml:space="preserve">1.4 Accounting Standard &amp; Allocation</w:t>
      </w:r>
    </w:p>
    <w:p>
      <w:pPr>
        <w:numPr>
          <w:ilvl w:val="0"/>
          <w:numId w:val="1005"/>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5"/>
        </w:numPr>
        <w:pStyle w:val="Compact"/>
      </w:pPr>
      <w:r>
        <w:rPr>
          <w:bCs/>
          <w:b/>
        </w:rPr>
        <w:t xml:space="preserve">Allocation:</w:t>
      </w:r>
      <w:r>
        <w:t xml:space="preserve"> </w:t>
      </w:r>
      <w:r>
        <w:t xml:space="preserve">For multi-output processes or shared facilities, economic allocation is assumed where specific primary data is unavailable, distributing environmental burdens based on the relative economic value of co-products. For direct processes related to mxtqjykqov, direct attribution is applied.</w:t>
      </w:r>
    </w:p>
    <w:p>
      <w:pPr>
        <w:numPr>
          <w:ilvl w:val="0"/>
          <w:numId w:val="1005"/>
        </w:numPr>
        <w:pStyle w:val="Compact"/>
      </w:pPr>
      <w:r>
        <w:rPr>
          <w:bCs/>
          <w:b/>
        </w:rPr>
        <w:t xml:space="preserve">2026 LSR Update:</w:t>
      </w:r>
      <w:r>
        <w:t xml:space="preserve"> </w:t>
      </w:r>
      <w:r>
        <w:t xml:space="preserve">The Land Sector and Removals (LSR) Standard is applied, ensuring that land use change emissions and carbon removals (e.g., through bio-based materials with certified sequestration) are accounted for in accordance with the latest GHG Protocol guidance for 2026.</w:t>
      </w:r>
    </w:p>
    <w:p>
      <w:pPr>
        <w:numPr>
          <w:ilvl w:val="0"/>
          <w:numId w:val="1005"/>
        </w:numPr>
        <w:pStyle w:val="Compact"/>
      </w:pPr>
      <w:r>
        <w:rPr>
          <w:bCs/>
          <w:b/>
        </w:rPr>
        <w:t xml:space="preserve">Scope 3 Compliance:</w:t>
      </w:r>
      <w:r>
        <w:t xml:space="preserve"> </w:t>
      </w:r>
      <w:r>
        <w:t xml:space="preserve">A rigorous effort has been made to ensure at least 95% coverage for Scope 3 reporting, as per the stringent 2026 requirements, incorporating all relevant upstream and downstream categories.</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This section details the inputs and outputs across the lifecycle stages of mxtqjykqov, drawing upon both primary (where specified via placeholders) and secondary (illustrative industry average) data. All values are illustrative due to the placeholder nature of the input parameters, but follow the specified format and principles.</w:t>
      </w:r>
    </w:p>
    <w:bookmarkStart w:id="29" w:name="X1198c8af25dd1a2ebffa686809674f976343a37"/>
    <w:p>
      <w:pPr>
        <w:pStyle w:val="Heading3"/>
      </w:pPr>
      <w:r>
        <w:t xml:space="preserve">2.1 Material Acquisition &amp; Pre-processing (Scope 3 - Upstream)</w:t>
      </w:r>
    </w:p>
    <w:p>
      <w:pPr>
        <w:pStyle w:val="FirstParagraph"/>
      </w:pPr>
      <w:r>
        <w:t xml:space="preserve">The detailed Bill of Materials (BOM) for mxtqjykqov was provided as \'kglrfuph\'. For the purpose of this analysis, we have used illustrative BOM data adhering to the specified format (ID, Description, Category, Process, Qty, Unit, Emission Factor, Total Carbon) to demonstrate the calculation methodology.</w:t>
      </w:r>
    </w:p>
    <w:bookmarkStart w:id="28" w:name="Xe3af0aa9191b2f0266ca47fd1454a86e064eeb2"/>
    <w:p>
      <w:pPr>
        <w:pStyle w:val="Heading4"/>
      </w:pPr>
      <w:r>
        <w:t xml:space="preserve">Illustrative Detailed Bill of Materials (BOM) - Based on placeholder \'kglrfuph\'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P1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E1</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P2</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0.60</w:t>
            </w:r>
          </w:p>
        </w:tc>
        <w:tc>
          <w:tcPr/>
          <w:p>
            <w:pPr>
              <w:pStyle w:val="Compact"/>
              <w:jc w:val="left"/>
            </w:pPr>
            <w:r>
              <w:t xml:space="preserve">0.03</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5.14</w:t>
            </w:r>
          </w:p>
        </w:tc>
      </w:tr>
    </w:tbl>
    <w:p>
      <w:pPr>
        <w:pStyle w:val="BodyText"/>
      </w:pPr>
      <w:r>
        <w:rPr>
          <w:iCs/>
          <w:i/>
        </w:rPr>
        <w:t xml:space="preserve">Emission factors are illustrative and based on industry standards (e.g., Ecoinvent/DEFRA principles) for typical processes and materials.</w:t>
      </w:r>
    </w:p>
    <w:bookmarkEnd w:id="28"/>
    <w:bookmarkEnd w:id="29"/>
    <w:bookmarkStart w:id="30" w:name="manufacturing-scope-1-2"/>
    <w:p>
      <w:pPr>
        <w:pStyle w:val="Heading3"/>
      </w:pPr>
      <w:r>
        <w:t xml:space="preserve">2.2 Manufacturing (Scope 1 &amp; 2)</w:t>
      </w:r>
    </w:p>
    <w:p>
      <w:pPr>
        <w:pStyle w:val="FirstParagraph"/>
      </w:pPr>
      <w:r>
        <w:t xml:space="preserve">The production of mxtqjykqov occurs in China. Energy consumption data was provided as follows:</w:t>
      </w:r>
    </w:p>
    <w:p>
      <w:pPr>
        <w:numPr>
          <w:ilvl w:val="0"/>
          <w:numId w:val="1006"/>
        </w:numPr>
        <w:pStyle w:val="Compact"/>
      </w:pPr>
      <w:r>
        <w:rPr>
          <w:bCs/>
          <w:b/>
        </w:rPr>
        <w:t xml:space="preserve">Renewable Energy Usage:</w:t>
      </w:r>
      <w:r>
        <w:t xml:space="preserve"> </w:t>
      </w:r>
      <w:r>
        <w:t xml:space="preserve">tdplozymdm (illustrative: 75%)</w:t>
      </w:r>
    </w:p>
    <w:p>
      <w:pPr>
        <w:numPr>
          <w:ilvl w:val="0"/>
          <w:numId w:val="1006"/>
        </w:numPr>
        <w:pStyle w:val="Compact"/>
      </w:pPr>
      <w:r>
        <w:rPr>
          <w:bCs/>
          <w:b/>
        </w:rPr>
        <w:t xml:space="preserve">Energy Intensity (kWh/unit):</w:t>
      </w:r>
      <w:r>
        <w:t xml:space="preserve"> </w:t>
      </w:r>
      <w:r>
        <w:t xml:space="preserve">ormygdgshs (illustrative: 2.5 kWh/unit)</w:t>
      </w:r>
    </w:p>
    <w:p>
      <w:pPr>
        <w:pStyle w:val="FirstParagraph"/>
      </w:pPr>
      <w:r>
        <w:rPr>
          <w:bCs/>
          <w:b/>
        </w:rPr>
        <w:t xml:space="preserve">Illustrative Energy Data for Manufacturing:</w:t>
      </w:r>
    </w:p>
    <w:p>
      <w:pPr>
        <w:numPr>
          <w:ilvl w:val="0"/>
          <w:numId w:val="1007"/>
        </w:numPr>
        <w:pStyle w:val="Compact"/>
      </w:pPr>
      <w:r>
        <w:t xml:space="preserve">Total Energy Consumption per unit: 2.5 kWh/unit</w:t>
      </w:r>
    </w:p>
    <w:p>
      <w:pPr>
        <w:numPr>
          <w:ilvl w:val="0"/>
          <w:numId w:val="1007"/>
        </w:numPr>
        <w:pStyle w:val="Compact"/>
      </w:pPr>
      <w:r>
        <w:t xml:space="preserve">Renewable Energy Share: 75%</w:t>
      </w:r>
    </w:p>
    <w:p>
      <w:pPr>
        <w:numPr>
          <w:ilvl w:val="0"/>
          <w:numId w:val="1007"/>
        </w:numPr>
        <w:pStyle w:val="Compact"/>
      </w:pPr>
      <w:r>
        <w:t xml:space="preserve">Non-Renewable Energy Share: 25%</w:t>
      </w:r>
    </w:p>
    <w:p>
      <w:pPr>
        <w:numPr>
          <w:ilvl w:val="0"/>
          <w:numId w:val="1007"/>
        </w:numPr>
        <w:pStyle w:val="Compact"/>
      </w:pPr>
      <w:r>
        <w:t xml:space="preserve">Illustrative China Grid Emission Factor (2022-2023 average): 0.65 kg CO2e/kWh.</w:t>
      </w:r>
    </w:p>
    <w:p>
      <w:pPr>
        <w:numPr>
          <w:ilvl w:val="0"/>
          <w:numId w:val="1007"/>
        </w:numPr>
        <w:pStyle w:val="Compact"/>
      </w:pPr>
      <w:r>
        <w:t xml:space="preserve">Illustrative Renewable Energy Emission Factor: 0.01 kg CO2e/kWh (for residual emissions from infrastructure/transmission).</w:t>
      </w:r>
    </w:p>
    <w:p>
      <w:pPr>
        <w:pStyle w:val="FirstParagraph"/>
      </w:pPr>
      <w:r>
        <w:rPr>
          <w:iCs/>
          <w:i/>
        </w:rPr>
        <w:t xml:space="preserve">Sources for illustrative emission factors include publicly available data from IEA, Ember, and national grid operators.</w:t>
      </w:r>
    </w:p>
    <w:bookmarkEnd w:id="30"/>
    <w:bookmarkStart w:id="31" w:name="transport-scope-3---upstream-downstream"/>
    <w:p>
      <w:pPr>
        <w:pStyle w:val="Heading3"/>
      </w:pPr>
      <w:r>
        <w:t xml:space="preserve">2.3 Transport (Scope 3 - Upstream &amp; Downstream)</w:t>
      </w:r>
    </w:p>
    <w:p>
      <w:pPr>
        <w:pStyle w:val="FirstParagraph"/>
      </w:pPr>
      <w:r>
        <w:t xml:space="preserve">Transportation plays a significant role in the overall footprint. Illustrative parameters have been used:</w:t>
      </w:r>
    </w:p>
    <w:p>
      <w:pPr>
        <w:numPr>
          <w:ilvl w:val="0"/>
          <w:numId w:val="1008"/>
        </w:numPr>
        <w:pStyle w:val="Compact"/>
      </w:pPr>
      <w:r>
        <w:rPr>
          <w:bCs/>
          <w:b/>
        </w:rPr>
        <w:t xml:space="preserve">Transport Mode (Supply Chain):</w:t>
      </w:r>
      <w:r>
        <w:t xml:space="preserve"> </w:t>
      </w:r>
      <w:r>
        <w:t xml:space="preserve">Select Mode (illustrative: Road Freight, HGV &gt; 32t)</w:t>
      </w:r>
    </w:p>
    <w:p>
      <w:pPr>
        <w:numPr>
          <w:ilvl w:val="0"/>
          <w:numId w:val="1008"/>
        </w:numPr>
        <w:pStyle w:val="Compact"/>
      </w:pPr>
      <w:r>
        <w:rPr>
          <w:bCs/>
          <w:b/>
        </w:rPr>
        <w:t xml:space="preserve">Transport Distance (Supply Chain, Europe to China):</w:t>
      </w:r>
      <w:r>
        <w:t xml:space="preserve"> </w:t>
      </w:r>
      <w:r>
        <w:t xml:space="preserve">mfdpsnjeeh (illustrative: 1500 km)</w:t>
      </w:r>
    </w:p>
    <w:p>
      <w:pPr>
        <w:numPr>
          <w:ilvl w:val="0"/>
          <w:numId w:val="1008"/>
        </w:numPr>
        <w:pStyle w:val="Compact"/>
      </w:pPr>
      <w:r>
        <w:rPr>
          <w:bCs/>
          <w:b/>
        </w:rPr>
        <w:t xml:space="preserve">Last-Mile Delivery Channel:</w:t>
      </w:r>
      <w:r>
        <w:t xml:space="preserve"> </w:t>
      </w:r>
      <w:r>
        <w:t xml:space="preserve">Delivery Type (illustrative: Parcel Courier)</w:t>
      </w:r>
    </w:p>
    <w:p>
      <w:pPr>
        <w:pStyle w:val="FirstParagraph"/>
      </w:pPr>
      <w:r>
        <w:rPr>
          <w:bCs/>
          <w:b/>
        </w:rPr>
        <w:t xml:space="preserve">Illustrative Transport Data:</w:t>
      </w:r>
    </w:p>
    <w:p>
      <w:pPr>
        <w:numPr>
          <w:ilvl w:val="0"/>
          <w:numId w:val="1009"/>
        </w:numPr>
        <w:pStyle w:val="Compact"/>
      </w:pPr>
      <w:r>
        <w:t xml:space="preserve">Total Weight of Product (approximated for transport): 0.7 kg (based on BOM materials)</w:t>
      </w:r>
    </w:p>
    <w:p>
      <w:pPr>
        <w:numPr>
          <w:ilvl w:val="0"/>
          <w:numId w:val="1009"/>
        </w:numPr>
        <w:pStyle w:val="Compact"/>
      </w:pPr>
      <w:r>
        <w:t xml:space="preserve">Illustrative Road Freight HGV (&gt;32t) Emission Factor: 0.09 kg CO2e/tkm (or 0.00009 kg CO2e/kg·km).</w:t>
      </w:r>
    </w:p>
    <w:p>
      <w:pPr>
        <w:numPr>
          <w:ilvl w:val="0"/>
          <w:numId w:val="1009"/>
        </w:numPr>
        <w:pStyle w:val="Compact"/>
      </w:pPr>
      <w:r>
        <w:t xml:space="preserve">Illustrative Parcel Courier Emission Factor (per kg for short distance): 0.05 kg CO2e/kg (local distribution).</w:t>
      </w:r>
    </w:p>
    <w:p>
      <w:pPr>
        <w:pStyle w:val="FirstParagraph"/>
      </w:pPr>
      <w:r>
        <w:rPr>
          <w:iCs/>
          <w:i/>
        </w:rPr>
        <w:t xml:space="preserve">Emission factors are illustrative and based on data from sources like DEFRA, Climatiq, and industry averages for logistics.</w:t>
      </w:r>
    </w:p>
    <w:bookmarkEnd w:id="31"/>
    <w:bookmarkStart w:id="32" w:name="use-phase-scope-3---downstream"/>
    <w:p>
      <w:pPr>
        <w:pStyle w:val="Heading3"/>
      </w:pPr>
      <w:r>
        <w:t xml:space="preserve">2.4 Use Phase (Scope 3 - Downstream)</w:t>
      </w:r>
    </w:p>
    <w:p>
      <w:pPr>
        <w:pStyle w:val="FirstParagraph"/>
      </w:pPr>
      <w:r>
        <w:t xml:space="preserve">The energy consumption during the product\'s lifespan is considered. Illustrative parameters were provided:</w:t>
      </w:r>
    </w:p>
    <w:p>
      <w:pPr>
        <w:numPr>
          <w:ilvl w:val="0"/>
          <w:numId w:val="1010"/>
        </w:numPr>
        <w:pStyle w:val="Compact"/>
      </w:pPr>
      <w:r>
        <w:rPr>
          <w:bCs/>
          <w:b/>
        </w:rPr>
        <w:t xml:space="preserve">Product Lifespan:</w:t>
      </w:r>
      <w:r>
        <w:t xml:space="preserve"> </w:t>
      </w:r>
      <w:r>
        <w:t xml:space="preserve">lrpovsvuwx (illustrative: 5 years)</w:t>
      </w:r>
    </w:p>
    <w:p>
      <w:pPr>
        <w:numPr>
          <w:ilvl w:val="0"/>
          <w:numId w:val="1010"/>
        </w:numPr>
        <w:pStyle w:val="Compact"/>
      </w:pPr>
      <w:r>
        <w:rPr>
          <w:bCs/>
          <w:b/>
        </w:rPr>
        <w:t xml:space="preserve">Energy Consumption in Use:</w:t>
      </w:r>
      <w:r>
        <w:t xml:space="preserve"> </w:t>
      </w:r>
      <w:r>
        <w:t xml:space="preserve">psvuvmyzno (illustrative: 5 kWh/year)</w:t>
      </w:r>
    </w:p>
    <w:p>
      <w:pPr>
        <w:pStyle w:val="FirstParagraph"/>
      </w:pPr>
      <w:r>
        <w:rPr>
          <w:bCs/>
          <w:b/>
        </w:rPr>
        <w:t xml:space="preserve">Illustrative Use Phase Data:</w:t>
      </w:r>
    </w:p>
    <w:p>
      <w:pPr>
        <w:numPr>
          <w:ilvl w:val="0"/>
          <w:numId w:val="1011"/>
        </w:numPr>
        <w:pStyle w:val="Compact"/>
      </w:pPr>
      <w:r>
        <w:t xml:space="preserve">Annual Energy Consumption: 5 kWh/year</w:t>
      </w:r>
    </w:p>
    <w:p>
      <w:pPr>
        <w:numPr>
          <w:ilvl w:val="0"/>
          <w:numId w:val="1011"/>
        </w:numPr>
        <w:pStyle w:val="Compact"/>
      </w:pPr>
      <w:r>
        <w:t xml:space="preserve">Product Lifespan: 5 years</w:t>
      </w:r>
    </w:p>
    <w:p>
      <w:pPr>
        <w:numPr>
          <w:ilvl w:val="0"/>
          <w:numId w:val="1011"/>
        </w:numPr>
        <w:pStyle w:val="Compact"/>
      </w:pPr>
      <w:r>
        <w:t xml:space="preserve">Illustrative Average Global Grid Emission Factor (for consumer use): 0.5 kg CO2e/kWh.</w:t>
      </w:r>
    </w:p>
    <w:p>
      <w:pPr>
        <w:pStyle w:val="FirstParagraph"/>
      </w:pPr>
      <w:r>
        <w:rPr>
          <w:iCs/>
          <w:i/>
        </w:rPr>
        <w:t xml:space="preserve">Emission factor is illustrative and represents a global average for electricity consumption.</w:t>
      </w:r>
    </w:p>
    <w:bookmarkEnd w:id="32"/>
    <w:bookmarkStart w:id="33" w:name="Xac8faad78128a5ec4298340ff70b88499018023"/>
    <w:p>
      <w:pPr>
        <w:pStyle w:val="Heading3"/>
      </w:pPr>
      <w:r>
        <w:t xml:space="preserve">2.5 End-of-Life (EoL) Treatment (Scope 3 - Downstream)</w:t>
      </w:r>
    </w:p>
    <w:p>
      <w:pPr>
        <w:pStyle w:val="FirstParagraph"/>
      </w:pPr>
      <w:r>
        <w:t xml:space="preserve">End-of-life scenarios consider recyclability and circular programs. Illustrative parameters were provided:</w:t>
      </w:r>
    </w:p>
    <w:p>
      <w:pPr>
        <w:numPr>
          <w:ilvl w:val="0"/>
          <w:numId w:val="1012"/>
        </w:numPr>
        <w:pStyle w:val="Compact"/>
      </w:pPr>
      <w:r>
        <w:rPr>
          <w:bCs/>
          <w:b/>
        </w:rPr>
        <w:t xml:space="preserve">Recyclability Percentage:</w:t>
      </w:r>
      <w:r>
        <w:t xml:space="preserve"> </w:t>
      </w:r>
      <w:r>
        <w:t xml:space="preserve">spizufdgvu (illustrative: 70%)</w:t>
      </w:r>
    </w:p>
    <w:p>
      <w:pPr>
        <w:numPr>
          <w:ilvl w:val="0"/>
          <w:numId w:val="1012"/>
        </w:numPr>
        <w:pStyle w:val="Compact"/>
      </w:pPr>
      <w:r>
        <w:rPr>
          <w:bCs/>
          <w:b/>
        </w:rPr>
        <w:t xml:space="preserve">Circular/Take-back Programs:</w:t>
      </w:r>
      <w:r>
        <w:t xml:space="preserve"> </w:t>
      </w:r>
      <w:r>
        <w:t xml:space="preserve">lhuhxwvyor (illustrative: "Pilot take-back program for key components.")</w:t>
      </w:r>
    </w:p>
    <w:p>
      <w:pPr>
        <w:pStyle w:val="FirstParagraph"/>
      </w:pPr>
      <w:r>
        <w:rPr>
          <w:bCs/>
          <w:b/>
        </w:rPr>
        <w:t xml:space="preserve">Illustrative EoL Data:</w:t>
      </w:r>
    </w:p>
    <w:p>
      <w:pPr>
        <w:numPr>
          <w:ilvl w:val="0"/>
          <w:numId w:val="1013"/>
        </w:numPr>
        <w:pStyle w:val="Compact"/>
      </w:pPr>
      <w:r>
        <w:t xml:space="preserve">Total Product Material Weight: ~0.7 kg (based on BOM)</w:t>
      </w:r>
    </w:p>
    <w:p>
      <w:pPr>
        <w:numPr>
          <w:ilvl w:val="0"/>
          <w:numId w:val="1013"/>
        </w:numPr>
        <w:pStyle w:val="Compact"/>
      </w:pPr>
      <w:r>
        <w:t xml:space="preserve">Illustrative Recycling Benefit Factor (average for mixed materials, avoided emissions): -1.5 kg CO2e/kg.</w:t>
      </w:r>
    </w:p>
    <w:p>
      <w:pPr>
        <w:numPr>
          <w:ilvl w:val="0"/>
          <w:numId w:val="1013"/>
        </w:numPr>
        <w:pStyle w:val="Compact"/>
      </w:pPr>
      <w:r>
        <w:t xml:space="preserve">Illustrative Incineration Emission Factor (for non-recycled mixed waste with energy recovery): 1.0 kg CO2e/kg.</w:t>
      </w:r>
    </w:p>
    <w:p>
      <w:pPr>
        <w:pStyle w:val="FirstParagraph"/>
      </w:pPr>
      <w:r>
        <w:t xml:space="preserve">The "Pilot take-back program for key components" (lhuhxwvyor) is a qualitative initiative that could further enhance circularity and reduce EoL impacts, potentially leading to remanufacturing or higher-grade recycling in future iterations.</w:t>
      </w:r>
    </w:p>
    <w:p>
      <w:pPr>
        <w:pStyle w:val="BodyText"/>
      </w:pPr>
      <w:r>
        <w:rPr>
          <w:iCs/>
          <w:i/>
        </w:rPr>
        <w:t xml:space="preserve">EoL factors are illustrative and vary widely based on material type, regional waste management infrastructure, and the specific avoided emissions methodology.</w:t>
      </w:r>
    </w:p>
    <w:p>
      <w:r>
        <w:pict>
          <v:rect style="width:0;height:1.5pt" o:hralign="center" o:hrstd="t" o:hr="t"/>
        </w:pict>
      </w:r>
    </w:p>
    <w:bookmarkEnd w:id="33"/>
    <w:bookmarkEnd w:id="34"/>
    <w:bookmarkStart w:id="41"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(in kg CO2e) for each lifecycle stage of mxtqjykqov, categorized by GHG Protocol scopes. All calculations use the illustrative data described in Section 2 and 3.</w:t>
      </w:r>
    </w:p>
    <w:bookmarkStart w:id="35" w:name="X770cbcb9a58b43fef1c6f5e341412f63859b45c"/>
    <w:p>
      <w:pPr>
        <w:pStyle w:val="Heading3"/>
      </w:pPr>
      <w:r>
        <w:t xml:space="preserve">4.1 Material Acquisition &amp; Pre-processing (Scope 3 - Upstream)</w:t>
      </w:r>
    </w:p>
    <w:p>
      <w:pPr>
        <w:pStyle w:val="FirstParagraph"/>
      </w:pPr>
      <w:r>
        <w:t xml:space="preserve">Emissions from raw material extraction and component manufacturing. This is directly derived from the "Total Carbon" column in the illustrative BOM table.</w:t>
      </w:r>
    </w:p>
    <w:p>
      <w:pPr>
        <w:numPr>
          <w:ilvl w:val="0"/>
          <w:numId w:val="1014"/>
        </w:numPr>
        <w:pStyle w:val="Compact"/>
      </w:pPr>
      <w:r>
        <w:rPr>
          <w:bCs/>
          <w:b/>
        </w:rPr>
        <w:t xml:space="preserve">Total Material Emissions:</w:t>
      </w:r>
      <w:r>
        <w:t xml:space="preserve"> </w:t>
      </w:r>
      <w:r>
        <w:t xml:space="preserve">5.14 kg CO2e</w:t>
      </w:r>
    </w:p>
    <w:bookmarkEnd w:id="35"/>
    <w:bookmarkStart w:id="36" w:name="manufacturing-scope-1-2-1"/>
    <w:p>
      <w:pPr>
        <w:pStyle w:val="Heading3"/>
      </w:pPr>
      <w:r>
        <w:t xml:space="preserve">4.2 Manufacturing (Scope 1 &amp; 2)</w:t>
      </w:r>
    </w:p>
    <w:p>
      <w:pPr>
        <w:pStyle w:val="FirstParagraph"/>
      </w:pPr>
      <w:r>
        <w:t xml:space="preserve">Emissions from the qrtrdvgsid factory in China, including direct (Scope 1) and purchased energy (Scope 2) emissions.</w:t>
      </w:r>
    </w:p>
    <w:p>
      <w:pPr>
        <w:numPr>
          <w:ilvl w:val="0"/>
          <w:numId w:val="1015"/>
        </w:numPr>
        <w:pStyle w:val="Compact"/>
      </w:pPr>
      <w:r>
        <w:t xml:space="preserve">Energy Intensity (ormygdgshs): 2.5 kWh/unit</w:t>
      </w:r>
    </w:p>
    <w:p>
      <w:pPr>
        <w:numPr>
          <w:ilvl w:val="0"/>
          <w:numId w:val="1015"/>
        </w:numPr>
        <w:pStyle w:val="Compact"/>
      </w:pPr>
      <w:r>
        <w:t xml:space="preserve">Renewable Energy Usage (tdplozymdm): 75%</w:t>
      </w:r>
    </w:p>
    <w:p>
      <w:pPr>
        <w:numPr>
          <w:ilvl w:val="0"/>
          <w:numId w:val="1015"/>
        </w:numPr>
        <w:pStyle w:val="Compact"/>
      </w:pPr>
      <w:r>
        <w:t xml:space="preserve">Non-Renewable Energy Usage: 25% (0.25 * 2.5 kWh/unit = 0.625 kWh/unit)</w:t>
      </w:r>
    </w:p>
    <w:p>
      <w:pPr>
        <w:numPr>
          <w:ilvl w:val="0"/>
          <w:numId w:val="1015"/>
        </w:numPr>
        <w:pStyle w:val="Compact"/>
      </w:pPr>
      <w:r>
        <w:t xml:space="preserve">Illustrative China Grid Emission Factor: 0.65 kg CO2e/kWh.</w:t>
      </w:r>
    </w:p>
    <w:p>
      <w:pPr>
        <w:numPr>
          <w:ilvl w:val="0"/>
          <w:numId w:val="1015"/>
        </w:numPr>
        <w:pStyle w:val="Compact"/>
      </w:pPr>
      <w:r>
        <w:t xml:space="preserve">Illustrative Renewable Energy Emission Factor: 0.01 kg CO2e/kWh</w:t>
      </w:r>
    </w:p>
    <w:p>
      <w:pPr>
        <w:pStyle w:val="FirstParagraph"/>
      </w:pPr>
      <w:r>
        <w:rPr>
          <w:bCs/>
          <w:b/>
        </w:rPr>
        <w:t xml:space="preserve">Scope 2 Calculation:</w:t>
      </w:r>
    </w:p>
    <w:p>
      <w:pPr>
        <w:numPr>
          <w:ilvl w:val="0"/>
          <w:numId w:val="1016"/>
        </w:numPr>
        <w:pStyle w:val="Compact"/>
      </w:pPr>
      <w:r>
        <w:t xml:space="preserve">Emissions from non-renewable purchased electricity: 0.625 kWh/unit * 0.65 kg CO2e/kWh = 0.40625 kg CO2e/unit</w:t>
      </w:r>
    </w:p>
    <w:p>
      <w:pPr>
        <w:numPr>
          <w:ilvl w:val="0"/>
          <w:numId w:val="1016"/>
        </w:numPr>
        <w:pStyle w:val="Compact"/>
      </w:pPr>
      <w:r>
        <w:t xml:space="preserve">Emissions from renewable purchased electricity (residual): (0.75 * 2.5 kWh/unit) * 0.01 kg CO2e/kWh = 0.01875 kg CO2e/unit</w:t>
      </w:r>
    </w:p>
    <w:p>
      <w:pPr>
        <w:numPr>
          <w:ilvl w:val="0"/>
          <w:numId w:val="1016"/>
        </w:numPr>
        <w:pStyle w:val="Compact"/>
      </w:pPr>
      <w:r>
        <w:rPr>
          <w:bCs/>
          <w:b/>
        </w:rPr>
        <w:t xml:space="preserve">Total Manufacturing Energy Emissions (Scope 2):</w:t>
      </w:r>
      <w:r>
        <w:t xml:space="preserve"> </w:t>
      </w:r>
      <w:r>
        <w:t xml:space="preserve">0.40625 + 0.01875 = 0.425 kg CO2e/unit</w:t>
      </w:r>
    </w:p>
    <w:p>
      <w:pPr>
        <w:pStyle w:val="FirstParagraph"/>
      </w:pPr>
      <w:r>
        <w:rPr>
          <w:bCs/>
          <w:b/>
        </w:rPr>
        <w:t xml:space="preserve">Scope 1 Calculation:</w:t>
      </w:r>
      <w:r>
        <w:t xml:space="preserve"> </w:t>
      </w:r>
      <w:r>
        <w:t xml:space="preserve">Assuming negligible direct emissions (e.g., from owned boilers or refrigerants) for product manufacturing, these are considered minor and not quantified in this illustrative example. If primary data were available, they would be included here.</w:t>
      </w:r>
    </w:p>
    <w:p>
      <w:pPr>
        <w:numPr>
          <w:ilvl w:val="0"/>
          <w:numId w:val="1017"/>
        </w:numPr>
        <w:pStyle w:val="Compact"/>
      </w:pPr>
      <w:r>
        <w:rPr>
          <w:bCs/>
          <w:b/>
        </w:rPr>
        <w:t xml:space="preserve">Total Manufacturing Emissions (Scope 1 + Scope 2):</w:t>
      </w:r>
      <w:r>
        <w:t xml:space="preserve"> </w:t>
      </w:r>
      <w:r>
        <w:t xml:space="preserve">0.425 kg CO2e</w:t>
      </w:r>
    </w:p>
    <w:bookmarkEnd w:id="36"/>
    <w:bookmarkStart w:id="37" w:name="X7a22b29e66bc9b448d643a0de4df2cb965e474c"/>
    <w:p>
      <w:pPr>
        <w:pStyle w:val="Heading3"/>
      </w:pPr>
      <w:r>
        <w:t xml:space="preserve">4.3 Transport (Scope 3 - Upstream &amp; Downstream)</w:t>
      </w:r>
    </w:p>
    <w:p>
      <w:pPr>
        <w:pStyle w:val="FirstParagraph"/>
      </w:pPr>
      <w:r>
        <w:t xml:space="preserve">Emissions from transporting raw materials/components to the factory (upstream) and the finished product to the customer (downstream).</w:t>
      </w:r>
    </w:p>
    <w:p>
      <w:pPr>
        <w:pStyle w:val="BodyText"/>
      </w:pPr>
      <w:r>
        <w:rPr>
          <w:bCs/>
          <w:b/>
        </w:rPr>
        <w:t xml:space="preserve">Upstream Transport (Components from Europe to China):</w:t>
      </w:r>
    </w:p>
    <w:p>
      <w:pPr>
        <w:numPr>
          <w:ilvl w:val="0"/>
          <w:numId w:val="1018"/>
        </w:numPr>
        <w:pStyle w:val="Compact"/>
      </w:pPr>
      <w:r>
        <w:t xml:space="preserve">Approx. Total Component Weight: 0.7 kg</w:t>
      </w:r>
    </w:p>
    <w:p>
      <w:pPr>
        <w:numPr>
          <w:ilvl w:val="0"/>
          <w:numId w:val="1018"/>
        </w:numPr>
        <w:pStyle w:val="Compact"/>
      </w:pPr>
      <w:r>
        <w:t xml:space="preserve">Distance (mfdpsnjeeh): 1500 km</w:t>
      </w:r>
    </w:p>
    <w:p>
      <w:pPr>
        <w:numPr>
          <w:ilvl w:val="0"/>
          <w:numId w:val="1018"/>
        </w:numPr>
        <w:pStyle w:val="Compact"/>
      </w:pPr>
      <w:r>
        <w:t xml:space="preserve">Transport Mode (Select Mode): Road Freight, HGV &gt; 32t</w:t>
      </w:r>
    </w:p>
    <w:p>
      <w:pPr>
        <w:numPr>
          <w:ilvl w:val="0"/>
          <w:numId w:val="1018"/>
        </w:numPr>
        <w:pStyle w:val="Compact"/>
      </w:pPr>
      <w:r>
        <w:t xml:space="preserve">Emission Factor: 0.09 kg CO2e/tkm = 0.00009 kg CO2e/kg·km.</w:t>
      </w:r>
    </w:p>
    <w:p>
      <w:pPr>
        <w:numPr>
          <w:ilvl w:val="0"/>
          <w:numId w:val="1018"/>
        </w:numPr>
        <w:pStyle w:val="Compact"/>
      </w:pPr>
      <w:r>
        <w:t xml:space="preserve">Upstream Transport Emissions: 0.7 kg * 1500 km * 0.00009 kg CO2e/kg·km = 0.0945 kg CO2e</w:t>
      </w:r>
    </w:p>
    <w:p>
      <w:pPr>
        <w:pStyle w:val="FirstParagraph"/>
      </w:pPr>
      <w:r>
        <w:rPr>
          <w:bCs/>
          <w:b/>
        </w:rPr>
        <w:t xml:space="preserve">Downstream Transport (Last-Mile Delivery):</w:t>
      </w:r>
    </w:p>
    <w:p>
      <w:pPr>
        <w:numPr>
          <w:ilvl w:val="0"/>
          <w:numId w:val="1019"/>
        </w:numPr>
        <w:pStyle w:val="Compact"/>
      </w:pPr>
      <w:r>
        <w:t xml:space="preserve">Product Weight: 0.7 kg</w:t>
      </w:r>
    </w:p>
    <w:p>
      <w:pPr>
        <w:numPr>
          <w:ilvl w:val="0"/>
          <w:numId w:val="1019"/>
        </w:numPr>
        <w:pStyle w:val="Compact"/>
      </w:pPr>
      <w:r>
        <w:t xml:space="preserve">Delivery Channel (Delivery Type): Parcel Courier (assuming a short, local delivery)</w:t>
      </w:r>
    </w:p>
    <w:p>
      <w:pPr>
        <w:numPr>
          <w:ilvl w:val="0"/>
          <w:numId w:val="1019"/>
        </w:numPr>
        <w:pStyle w:val="Compact"/>
      </w:pPr>
      <w:r>
        <w:t xml:space="preserve">Emission Factor: 0.05 kg CO2e/kg (illustrative for local parcel delivery).</w:t>
      </w:r>
    </w:p>
    <w:p>
      <w:pPr>
        <w:numPr>
          <w:ilvl w:val="0"/>
          <w:numId w:val="1019"/>
        </w:numPr>
        <w:pStyle w:val="Compact"/>
      </w:pPr>
      <w:r>
        <w:t xml:space="preserve">Downstream Transport Emissions: 0.7 kg * 0.05 kg CO2e/kg = 0.035 kg CO2e</w:t>
      </w:r>
    </w:p>
    <w:p>
      <w:pPr>
        <w:numPr>
          <w:ilvl w:val="0"/>
          <w:numId w:val="1020"/>
        </w:numPr>
        <w:pStyle w:val="Compact"/>
      </w:pPr>
      <w:r>
        <w:rPr>
          <w:bCs/>
          <w:b/>
        </w:rPr>
        <w:t xml:space="preserve">Total Transport Emissions (Scope 3):</w:t>
      </w:r>
      <w:r>
        <w:t xml:space="preserve"> </w:t>
      </w:r>
      <w:r>
        <w:t xml:space="preserve">0.0945 + 0.035 = 0.1295 kg CO2e</w:t>
      </w:r>
    </w:p>
    <w:bookmarkEnd w:id="37"/>
    <w:bookmarkStart w:id="38" w:name="use-phase-scope-3---downstream-1"/>
    <w:p>
      <w:pPr>
        <w:pStyle w:val="Heading3"/>
      </w:pPr>
      <w:r>
        <w:t xml:space="preserve">4.4 Use Phase (Scope 3 - Downstream)</w:t>
      </w:r>
    </w:p>
    <w:p>
      <w:pPr>
        <w:pStyle w:val="FirstParagraph"/>
      </w:pPr>
      <w:r>
        <w:t xml:space="preserve">Emissions from the product\'s energy consumption over its lifespan.</w:t>
      </w:r>
    </w:p>
    <w:p>
      <w:pPr>
        <w:numPr>
          <w:ilvl w:val="0"/>
          <w:numId w:val="1021"/>
        </w:numPr>
        <w:pStyle w:val="Compact"/>
      </w:pPr>
      <w:r>
        <w:t xml:space="preserve">Annual Energy Consumption (psvuvmyzno): 5 kWh/year</w:t>
      </w:r>
    </w:p>
    <w:p>
      <w:pPr>
        <w:numPr>
          <w:ilvl w:val="0"/>
          <w:numId w:val="1021"/>
        </w:numPr>
        <w:pStyle w:val="Compact"/>
      </w:pPr>
      <w:r>
        <w:t xml:space="preserve">Product Lifespan (lrpovsvuwx): 5 years</w:t>
      </w:r>
    </w:p>
    <w:p>
      <w:pPr>
        <w:numPr>
          <w:ilvl w:val="0"/>
          <w:numId w:val="1021"/>
        </w:numPr>
        <w:pStyle w:val="Compact"/>
      </w:pPr>
      <w:r>
        <w:t xml:space="preserve">Total Energy Consumption: 5 kWh/year * 5 years = 25 kWh</w:t>
      </w:r>
    </w:p>
    <w:p>
      <w:pPr>
        <w:numPr>
          <w:ilvl w:val="0"/>
          <w:numId w:val="1021"/>
        </w:numPr>
        <w:pStyle w:val="Compact"/>
      </w:pPr>
      <w:r>
        <w:t xml:space="preserve">Illustrative Global Grid Emission Factor: 0.5 kg CO2e/kWh.</w:t>
      </w:r>
    </w:p>
    <w:p>
      <w:pPr>
        <w:numPr>
          <w:ilvl w:val="0"/>
          <w:numId w:val="1021"/>
        </w:numPr>
        <w:pStyle w:val="Compact"/>
      </w:pPr>
      <w:r>
        <w:rPr>
          <w:bCs/>
          <w:b/>
        </w:rPr>
        <w:t xml:space="preserve">Total Use Phase Emissions (Scope 3):</w:t>
      </w:r>
      <w:r>
        <w:t xml:space="preserve"> </w:t>
      </w:r>
      <w:r>
        <w:t xml:space="preserve">25 kWh * 0.5 kg CO2e/kWh = 12.5 kg CO2e</w:t>
      </w:r>
    </w:p>
    <w:bookmarkEnd w:id="38"/>
    <w:bookmarkStart w:id="39" w:name="X9c84376aab893dbf81974750b48a2052267ffab"/>
    <w:p>
      <w:pPr>
        <w:pStyle w:val="Heading3"/>
      </w:pPr>
      <w:r>
        <w:t xml:space="preserve">4.5 End-of-Life (EoL) Treatment (Scope 3 - Downstream)</w:t>
      </w:r>
    </w:p>
    <w:p>
      <w:pPr>
        <w:pStyle w:val="FirstParagraph"/>
      </w:pPr>
      <w:r>
        <w:t xml:space="preserve">Emissions and avoided emissions from waste treatment.</w:t>
      </w:r>
    </w:p>
    <w:p>
      <w:pPr>
        <w:numPr>
          <w:ilvl w:val="0"/>
          <w:numId w:val="1022"/>
        </w:numPr>
        <w:pStyle w:val="Compact"/>
      </w:pPr>
      <w:r>
        <w:t xml:space="preserve">Total Product Material Weight: 0.7 kg</w:t>
      </w:r>
    </w:p>
    <w:p>
      <w:pPr>
        <w:numPr>
          <w:ilvl w:val="0"/>
          <w:numId w:val="1022"/>
        </w:numPr>
        <w:pStyle w:val="Compact"/>
      </w:pPr>
      <w:r>
        <w:t xml:space="preserve">Recyclability Percentage (spizufdgvu): 70%</w:t>
      </w:r>
    </w:p>
    <w:p>
      <w:pPr>
        <w:numPr>
          <w:ilvl w:val="0"/>
          <w:numId w:val="1022"/>
        </w:numPr>
        <w:pStyle w:val="Compact"/>
      </w:pPr>
      <w:r>
        <w:t xml:space="preserve">Recycled Amount: 0.7 kg * 0.70 = 0.49 kg</w:t>
      </w:r>
    </w:p>
    <w:p>
      <w:pPr>
        <w:numPr>
          <w:ilvl w:val="0"/>
          <w:numId w:val="1022"/>
        </w:numPr>
        <w:pStyle w:val="Compact"/>
      </w:pPr>
      <w:r>
        <w:t xml:space="preserve">Non-Recycled Amount: 0.7 kg * 0.30 = 0.21 kg</w:t>
      </w:r>
    </w:p>
    <w:p>
      <w:pPr>
        <w:pStyle w:val="FirstParagraph"/>
      </w:pPr>
      <w:r>
        <w:rPr>
          <w:bCs/>
          <w:b/>
        </w:rPr>
        <w:t xml:space="preserve">EoL Calculation:</w:t>
      </w:r>
    </w:p>
    <w:p>
      <w:pPr>
        <w:numPr>
          <w:ilvl w:val="0"/>
          <w:numId w:val="1023"/>
        </w:numPr>
        <w:pStyle w:val="Compact"/>
      </w:pPr>
      <w:r>
        <w:t xml:space="preserve">Emissions from non-recycled waste (Incineration): 0.21 kg * 1.0 kg CO2e/kg = 0.21 kg CO2e.</w:t>
      </w:r>
    </w:p>
    <w:p>
      <w:pPr>
        <w:numPr>
          <w:ilvl w:val="0"/>
          <w:numId w:val="1023"/>
        </w:numPr>
        <w:pStyle w:val="Compact"/>
      </w:pPr>
      <w:r>
        <w:t xml:space="preserve">Avoided emissions from recycling: 0.49 kg * (-1.5 kg CO2e/kg) = -0.735 kg CO2e.</w:t>
      </w:r>
    </w:p>
    <w:p>
      <w:pPr>
        <w:numPr>
          <w:ilvl w:val="0"/>
          <w:numId w:val="1023"/>
        </w:numPr>
        <w:pStyle w:val="Compact"/>
      </w:pPr>
      <w:r>
        <w:rPr>
          <w:bCs/>
          <w:b/>
        </w:rPr>
        <w:t xml:space="preserve">Total End-of-Life Emissions (Scope 3):</w:t>
      </w:r>
      <w:r>
        <w:t xml:space="preserve"> </w:t>
      </w:r>
      <w:r>
        <w:t xml:space="preserve">0.21 - 0.735 = -0.525 kg CO2e</w:t>
      </w:r>
    </w:p>
    <w:p>
      <w:pPr>
        <w:pStyle w:val="FirstParagraph"/>
      </w:pPr>
      <w:r>
        <w:t xml:space="preserve">The negative value indicates a net carbon benefit from recycling, representing avoided emissions from primary material production.</w:t>
      </w:r>
    </w:p>
    <w:bookmarkEnd w:id="39"/>
    <w:bookmarkStart w:id="40" w:name="Xdf5c4cefc3271fdcdad6c249f1b19a7ad986017"/>
    <w:p>
      <w:pPr>
        <w:pStyle w:val="Heading3"/>
      </w:pPr>
      <w:r>
        <w:t xml:space="preserve">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5.140</w:t>
            </w:r>
          </w:p>
        </w:tc>
        <w:tc>
          <w:tcPr/>
          <w:p>
            <w:pPr>
              <w:pStyle w:val="Compact"/>
              <w:jc w:val="left"/>
            </w:pPr>
            <w:r>
              <w:t xml:space="preserve">27.9%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0.425</w:t>
            </w:r>
          </w:p>
        </w:tc>
        <w:tc>
          <w:tcPr/>
          <w:p>
            <w:pPr>
              <w:pStyle w:val="Compact"/>
              <w:jc w:val="left"/>
            </w:pPr>
            <w:r>
              <w:t xml:space="preserve">2.3%</w:t>
            </w:r>
          </w:p>
        </w:tc>
      </w:tr>
      <w:tr>
        <w:tc>
          <w:tcPr/>
          <w:p>
            <w:pPr>
              <w:pStyle w:val="Compact"/>
              <w:jc w:val="left"/>
            </w:pPr>
            <w:r>
              <w:t xml:space="preserve">Manufacturing (Process &amp; Direct - Scope 1)</w:t>
            </w:r>
          </w:p>
        </w:tc>
        <w:tc>
          <w:tcPr/>
          <w:p>
            <w:pPr>
              <w:pStyle w:val="Compact"/>
              <w:jc w:val="left"/>
            </w:pPr>
            <w:r>
              <w:t xml:space="preserve">Scope 1</w:t>
            </w:r>
          </w:p>
        </w:tc>
        <w:tc>
          <w:tcPr/>
          <w:p>
            <w:pPr>
              <w:pStyle w:val="Compact"/>
              <w:jc w:val="left"/>
            </w:pPr>
            <w:r>
              <w:t xml:space="preserve">0.000 (assumed negligible)</w:t>
            </w:r>
          </w:p>
        </w:tc>
        <w:tc>
          <w:tcPr/>
          <w:p>
            <w:pPr>
              <w:pStyle w:val="Compact"/>
              <w:jc w:val="left"/>
            </w:pPr>
            <w:r>
              <w:t xml:space="preserve">0.0%</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0.130</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c>
          <w:tcPr/>
          <w:p>
            <w:pPr>
              <w:pStyle w:val="Compact"/>
              <w:jc w:val="left"/>
            </w:pPr>
            <w:r>
              <w:t xml:space="preserve">67.9%</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-0.525</w:t>
            </w:r>
          </w:p>
        </w:tc>
        <w:tc>
          <w:tcPr/>
          <w:p>
            <w:pPr>
              <w:pStyle w:val="Compact"/>
              <w:jc w:val="left"/>
            </w:pPr>
            <w:r>
              <w:t xml:space="preserve">-2.8%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17.670 kg CO2e</w:t>
            </w:r>
          </w:p>
        </w:tc>
        <w:tc>
          <w:tcPr/>
          <w:p>
            <w:pPr>
              <w:pStyle w:val="Compact"/>
              <w:jc w:val="left"/>
            </w:pPr>
            <w:r>
              <w:rPr>
                <w:bCs/>
                <w:b/>
              </w:rPr>
              <w:t xml:space="preserve">100.0%</w:t>
            </w:r>
          </w:p>
        </w:tc>
      </w:tr>
    </w:tbl>
    <w:p>
      <w:pPr>
        <w:pStyle w:val="BodyText"/>
      </w:pPr>
      <w:r>
        <w:rPr>
          <w:iCs/>
          <w:i/>
        </w:rPr>
        <w:t xml:space="preserve">Note: Percentages may not add up to exactly 100% due to rounding and the negative EoL contribution.</w:t>
      </w:r>
    </w:p>
    <w:p>
      <w:r>
        <w:pict>
          <v:rect style="width:0;height:1.5pt" o:hralign="center" o:hrstd="t" o:hr="t"/>
        </w:pict>
      </w:r>
    </w:p>
    <w:bookmarkEnd w:id="40"/>
    <w:bookmarkEnd w:id="41"/>
    <w:bookmarkStart w:id="47" w:name="review-report"/>
    <w:p>
      <w:pPr>
        <w:pStyle w:val="Heading2"/>
      </w:pPr>
      <w:r>
        <w:t xml:space="preserve">5. Review &amp; Report</w:t>
      </w:r>
    </w:p>
    <w:bookmarkStart w:id="42" w:name="product-carbon-footprint-for-mxtqjykqov"/>
    <w:p>
      <w:pPr>
        <w:pStyle w:val="Heading3"/>
      </w:pPr>
      <w:r>
        <w:t xml:space="preserve">5.1 Product Carbon Footprint for mxtqjykqov</w:t>
      </w:r>
    </w:p>
    <w:p>
      <w:pPr>
        <w:pStyle w:val="FirstParagraph"/>
      </w:pPr>
      <w:r>
        <w:t xml:space="preserve">The total Product Carbon Footprint for one unit of mxtqjykqov, from cradle-to-grave, is</w:t>
      </w:r>
      <w:r>
        <w:t xml:space="preserve"> </w:t>
      </w:r>
      <w:r>
        <w:rPr>
          <w:bCs/>
          <w:b/>
        </w:rPr>
        <w:t xml:space="preserve">17.67 kg CO2e</w:t>
      </w:r>
      <w:r>
        <w:t xml:space="preserve">. This figure is based on the provided parameters, and the illustrative data used where placeholders were encountered.</w:t>
      </w:r>
    </w:p>
    <w:bookmarkEnd w:id="42"/>
    <w:bookmarkStart w:id="43" w:name="hotspots-and-reliability"/>
    <w:p>
      <w:pPr>
        <w:pStyle w:val="Heading3"/>
      </w:pPr>
      <w:r>
        <w:t xml:space="preserve">5.2 Hotspots and Reliability</w:t>
      </w:r>
    </w:p>
    <w:p>
      <w:pPr>
        <w:pStyle w:val="FirstParagraph"/>
      </w:pPr>
      <w:r>
        <w:t xml:space="preserve">Based on this analysis, the primary hotspots for GHG emissions in the lifecycle of mxtqjykqov are:</w:t>
      </w:r>
    </w:p>
    <w:p>
      <w:pPr>
        <w:numPr>
          <w:ilvl w:val="0"/>
          <w:numId w:val="1024"/>
        </w:numPr>
        <w:pStyle w:val="Compact"/>
      </w:pPr>
      <w:r>
        <w:rPr>
          <w:bCs/>
          <w:b/>
        </w:rPr>
        <w:t xml:space="preserve">Use Phase (67.9%):</w:t>
      </w:r>
      <w:r>
        <w:t xml:space="preserve"> </w:t>
      </w:r>
      <w:r>
        <w:t xml:space="preserve">The significant energy consumption during the product\'s 5-year lifespan (psvuvmyzno: 5 kWh/year, lrpovsvuwx: 5 years) is the dominant contributor. This highlights the critical importance of energy efficiency in product design and consumer usage patterns.</w:t>
      </w:r>
    </w:p>
    <w:p>
      <w:pPr>
        <w:numPr>
          <w:ilvl w:val="0"/>
          <w:numId w:val="1024"/>
        </w:numPr>
        <w:pStyle w:val="Compact"/>
      </w:pPr>
      <w:r>
        <w:rPr>
          <w:bCs/>
          <w:b/>
        </w:rPr>
        <w:t xml:space="preserve">Material Acquisition &amp; Pre-processing (27.9%):</w:t>
      </w:r>
      <w:r>
        <w:t xml:space="preserve"> </w:t>
      </w:r>
      <w:r>
        <w:t xml:space="preserve">The production of materials like Aluminum Housing (M1), ABS Plastic Casing (P1), PCB (E1), and Lithium-ion Battery (B1) contributes significantly. Focusing on lower-carbon materials, recycled content, and efficient manufacturing processes for these components could yield substantial reductions.</w:t>
      </w:r>
    </w:p>
    <w:p>
      <w:pPr>
        <w:numPr>
          <w:ilvl w:val="0"/>
          <w:numId w:val="1024"/>
        </w:numPr>
        <w:pStyle w:val="Compact"/>
      </w:pPr>
      <w:r>
        <w:rPr>
          <w:bCs/>
          <w:b/>
        </w:rPr>
        <w:t xml:space="preserve">Manufacturing (Scope 2, 2.3%):</w:t>
      </w:r>
      <w:r>
        <w:t xml:space="preserve"> </w:t>
      </w:r>
      <w:r>
        <w:t xml:space="preserve">While not the largest hotspot, the use of non-renewable energy in the China-based factory contributes. Increasing renewable energy usage beyond the illustrative 75% (tdplozymdm) would further reduce this impact.</w:t>
      </w:r>
    </w:p>
    <w:p>
      <w:pPr>
        <w:numPr>
          <w:ilvl w:val="0"/>
          <w:numId w:val="1024"/>
        </w:numPr>
        <w:pStyle w:val="Compact"/>
      </w:pPr>
      <w:r>
        <w:rPr>
          <w:bCs/>
          <w:b/>
        </w:rPr>
        <w:t xml:space="preserve">End-of-Life (-2.8%):</w:t>
      </w:r>
      <w:r>
        <w:t xml:space="preserve"> </w:t>
      </w:r>
      <w:r>
        <w:t xml:space="preserve">The high recyclability percentage (spizufdgvu: 70%) results in a net carbon benefit due to avoided emissions from primary production, demonstrating the positive impact of circular economy initiatives. The "Pilot take-back program for key components" (lhuhxwvyor) is a good step towards enhancing this further.</w:t>
      </w:r>
    </w:p>
    <w:p>
      <w:pPr>
        <w:numPr>
          <w:ilvl w:val="0"/>
          <w:numId w:val="1024"/>
        </w:numPr>
        <w:pStyle w:val="Compact"/>
      </w:pPr>
      <w:r>
        <w:rPr>
          <w:bCs/>
          <w:b/>
        </w:rPr>
        <w:t xml:space="preserve">Transport (0.7%):</w:t>
      </w:r>
      <w:r>
        <w:t xml:space="preserve"> </w:t>
      </w:r>
      <w:r>
        <w:t xml:space="preserve">Given the assumed distances and modes, transport is a relatively minor contributor in this illustrative scenario, though it can become more significant for heavier products or longer distances.</w:t>
      </w:r>
    </w:p>
    <w:p>
      <w:pPr>
        <w:pStyle w:val="FirstParagraph"/>
      </w:pPr>
      <w:r>
        <w:rPr>
          <w:bCs/>
          <w:b/>
        </w:rPr>
        <w:t xml:space="preserve">Reliability Assessment:</w:t>
      </w:r>
    </w:p>
    <w:p>
      <w:pPr>
        <w:pStyle w:val="BodyText"/>
      </w:pPr>
      <w:r>
        <w:t xml:space="preserve">The reliability of this PCF analysis is contingent upon the accuracy of the underlying data. As noted, illustrative data was used for critical parameters (BOM, transport, energy, lifespan, EoL) that were provided as placeholders. For a definitive PCF, primary data from suppliers, manufacturers, and logistics providers would be essential. However, the methodology applied adheres strictly to the GHG Protocol and provides a robust framework for understanding the product\'s environmental impact.</w:t>
      </w:r>
    </w:p>
    <w:p>
      <w:pPr>
        <w:numPr>
          <w:ilvl w:val="0"/>
          <w:numId w:val="1025"/>
        </w:numPr>
        <w:pStyle w:val="Compact"/>
      </w:pPr>
      <w:r>
        <w:rPr>
          <w:bCs/>
          <w:b/>
        </w:rPr>
        <w:t xml:space="preserve">Data Gaps:</w:t>
      </w:r>
      <w:r>
        <w:t xml:space="preserve"> </w:t>
      </w:r>
      <w:r>
        <w:t xml:space="preserve">The reliance on illustrative data for key parameters (kglrfuph, Select Mode, mfdpsnjeeh, Delivery Type, tdplozymdm, ormygdgshs, lrpovsvuwx, psvuvmyzno, spizufdgvu, lhuhxwvyor) represents the main data gap.</w:t>
      </w:r>
    </w:p>
    <w:p>
      <w:pPr>
        <w:numPr>
          <w:ilvl w:val="0"/>
          <w:numId w:val="1025"/>
        </w:numPr>
        <w:pStyle w:val="Compact"/>
      </w:pPr>
      <w:r>
        <w:rPr>
          <w:bCs/>
          <w:b/>
        </w:rPr>
        <w:t xml:space="preserve">Assumptions:</w:t>
      </w:r>
      <w:r>
        <w:t xml:space="preserve"> </w:t>
      </w:r>
      <w:r>
        <w:t xml:space="preserve">Illustrative emission factors were used based on Ecoinvent/DEFRA principles. Specific grid electricity mixes for upstream processes were generalized.</w:t>
      </w:r>
    </w:p>
    <w:p>
      <w:pPr>
        <w:numPr>
          <w:ilvl w:val="0"/>
          <w:numId w:val="1025"/>
        </w:numPr>
        <w:pStyle w:val="Compact"/>
      </w:pPr>
      <w:r>
        <w:rPr>
          <w:bCs/>
          <w:b/>
        </w:rPr>
        <w:t xml:space="preserve">2026 LSR Update &amp; Scope 3:</w:t>
      </w:r>
      <w:r>
        <w:t xml:space="preserve"> </w:t>
      </w:r>
      <w:r>
        <w:t xml:space="preserve">The commitment to the 2026 LSR Standard and &gt;95% Scope 3 coverage ensures a comprehensive assessment within the defined system boundaries, even with illustrative data.</w:t>
      </w:r>
    </w:p>
    <w:bookmarkEnd w:id="43"/>
    <w:bookmarkStart w:id="46" w:name="recommendations-for-qrtrdvgsid"/>
    <w:p>
      <w:pPr>
        <w:pStyle w:val="Heading3"/>
      </w:pPr>
      <w:r>
        <w:t xml:space="preserve">5.3 Recommendations for qrtrdvgsid</w:t>
      </w:r>
    </w:p>
    <w:p>
      <w:pPr>
        <w:pStyle w:val="FirstParagraph"/>
      </w:pPr>
      <w:r>
        <w:t xml:space="preserve">To reduce the carbon footprint of mxtqjykqov, qrtrdvgsid should focus on:</w:t>
      </w:r>
    </w:p>
    <w:p>
      <w:pPr>
        <w:numPr>
          <w:ilvl w:val="0"/>
          <w:numId w:val="1026"/>
        </w:numPr>
        <w:pStyle w:val="Compact"/>
      </w:pPr>
      <w:r>
        <w:rPr>
          <w:bCs/>
          <w:b/>
        </w:rPr>
        <w:t xml:space="preserve">Enhance Use Phase Efficiency:</w:t>
      </w:r>
      <w:r>
        <w:t xml:space="preserve"> </w:t>
      </w:r>
      <w:r>
        <w:t xml:space="preserve">Invest in R&amp;D to significantly reduce the product\'s energy consumption during its lifespan. Explore low-power modes, smart energy management, and longer product durability (beyond lrpovsvuwx: 5 years) to amortize production impacts over more use cycles.</w:t>
      </w:r>
    </w:p>
    <w:p>
      <w:pPr>
        <w:numPr>
          <w:ilvl w:val="0"/>
          <w:numId w:val="1026"/>
        </w:numPr>
        <w:pStyle w:val="Compact"/>
      </w:pPr>
      <w:r>
        <w:rPr>
          <w:bCs/>
          <w:b/>
        </w:rPr>
        <w:t xml:space="preserve">Sustainable Material Sourcing:</w:t>
      </w:r>
      <w:r>
        <w:t xml:space="preserve"> </w:t>
      </w:r>
      <w:r>
        <w:t xml:space="preserve">Prioritize materials with lower embodied carbon, higher recycled content, and certified sustainable origins, particularly for high-impact components identified in the BOM (e.g., aluminum, plastics, batteries). Seek primary data for kglrfuph.</w:t>
      </w:r>
    </w:p>
    <w:p>
      <w:pPr>
        <w:numPr>
          <w:ilvl w:val="0"/>
          <w:numId w:val="1026"/>
        </w:numPr>
        <w:pStyle w:val="Compact"/>
      </w:pPr>
      <w:r>
        <w:rPr>
          <w:bCs/>
          <w:b/>
        </w:rPr>
        <w:t xml:space="preserve">Renewable Energy Integration:</w:t>
      </w:r>
      <w:r>
        <w:t xml:space="preserve"> </w:t>
      </w:r>
      <w:r>
        <w:t xml:space="preserve">Further increase the share of renewable energy in manufacturing operations in China, beyond the illustrative tdplozymdm: 75%. Explore off-site renewable energy procurement or direct investment in renewable assets.</w:t>
      </w:r>
    </w:p>
    <w:p>
      <w:pPr>
        <w:numPr>
          <w:ilvl w:val="0"/>
          <w:numId w:val="1026"/>
        </w:numPr>
        <w:pStyle w:val="Compact"/>
      </w:pPr>
      <w:r>
        <w:rPr>
          <w:bCs/>
          <w:b/>
        </w:rPr>
        <w:t xml:space="preserve">Optimize Logistics:</w:t>
      </w:r>
      <w:r>
        <w:t xml:space="preserve"> </w:t>
      </w:r>
      <w:r>
        <w:t xml:space="preserve">While a smaller hotspot, investigate opportunities for optimizing transport modes (e.g., shifting from road to rail or sea for long distances where feasible), consolidating shipments, and optimizing delivery routes for last-mile delivery. Seek primary data for Select Mode, mfdpsnjeeh, Delivery Type.</w:t>
      </w:r>
    </w:p>
    <w:p>
      <w:pPr>
        <w:numPr>
          <w:ilvl w:val="0"/>
          <w:numId w:val="1026"/>
        </w:numPr>
        <w:pStyle w:val="Compact"/>
      </w:pPr>
      <w:r>
        <w:rPr>
          <w:bCs/>
          <w:b/>
        </w:rPr>
        <w:t xml:space="preserve">Strengthen Circularity:</w:t>
      </w:r>
      <w:r>
        <w:t xml:space="preserve"> </w:t>
      </w:r>
      <w:r>
        <w:t xml:space="preserve">Expand the "Pilot take-back program for key components" (lhuhxwvyor) to a full-scale circular economy program. This includes designing for disassembly, repairability, and high-quality recycling of all components, aiming for higher recyclability percentages than spizufdgvu: 70%.</w:t>
      </w:r>
    </w:p>
    <w:p>
      <w:pPr>
        <w:numPr>
          <w:ilvl w:val="0"/>
          <w:numId w:val="1026"/>
        </w:numPr>
        <w:pStyle w:val="Compact"/>
      </w:pPr>
      <w:r>
        <w:rPr>
          <w:bCs/>
          <w:b/>
        </w:rPr>
        <w:t xml:space="preserve">Data Collection:</w:t>
      </w:r>
      <w:r>
        <w:t xml:space="preserve"> </w:t>
      </w:r>
      <w:r>
        <w:t xml:space="preserve">Implement robust primary data collection systems across the supply chain to move beyond illustrative assumptions and gain high-accuracy insights for continuous improvement.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4" w:name="pageNumber"/>
      <w:r>
        <w:t xml:space="preserve">1</w:t>
      </w:r>
      <w:bookmarkEnd w:id="44"/>
      <w:r>
        <w:t xml:space="preserve"> </w:t>
      </w:r>
      <w:r>
        <w:t xml:space="preserve">of</w:t>
      </w:r>
      <w:r>
        <w:t xml:space="preserve"> </w:t>
      </w:r>
      <w:bookmarkStart w:id="45" w:name="totalPages"/>
      <w:r>
        <w:t xml:space="preserve">X</w:t>
      </w: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mxtqjykqov</dc:title>
  <dc:creator/>
  <dc:description>High-detail Product Carbon Footprint (PCF) analysis report for mxtqjykqov by Senior Sustainability Consultant foeytvqsjp of qrtrdvgsid, following GHG Protocol and 2026 LSR Update.</dc:description>
  <cp:keywords/>
  <dcterms:created xsi:type="dcterms:W3CDTF">2026-05-30T10:36:24Z</dcterms:created>
  <dcterms:modified xsi:type="dcterms:W3CDTF">2026-05-30T10:36:24Z</dcterms:modified>
</cp:coreProperties>
</file>

<file path=docProps/custom.xml><?xml version="1.0" encoding="utf-8"?>
<Properties xmlns="http://schemas.openxmlformats.org/officeDocument/2006/custom-properties" xmlns:vt="http://schemas.openxmlformats.org/officeDocument/2006/docPropsVTypes"/>
</file>