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mxjtqeyhey</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ovfvtziogf</w:t>
      </w:r>
    </w:p>
    <w:p>
      <w:pPr>
        <w:pStyle w:val="BodyText"/>
      </w:pPr>
      <w:r>
        <w:rPr>
          <w:bCs/>
          <w:b/>
        </w:rPr>
        <w:t xml:space="preserve">Senior Sustainability Consultant:</w:t>
      </w:r>
      <w:r>
        <w:t xml:space="preserve"> </w:t>
      </w:r>
      <w:r>
        <w:t xml:space="preserve">spjeqoewvu</w:t>
      </w:r>
    </w:p>
    <w:p>
      <w:pPr>
        <w:pStyle w:val="BodyText"/>
      </w:pPr>
      <w:r>
        <w:t xml:space="preserve">Disclaimer: This report is generated based on available data and industry standards. All quantitative data derived from placeholders (gwdtzoip, Select Mode, vlqonqhlos, Delivery Type, lxytvousmy, prgkgqovsr, qoqttszulq, serldpqvzo, rizokvgymm, ondvyezejz) are illustrative and used for demonstrating the methodology. Actual values for real-world scenarios would require specific, verifiable primary data.</w:t>
      </w:r>
    </w:p>
    <w:bookmarkEnd w:id="20"/>
    <w:bookmarkStart w:id="24" w:name="Xa87d010c1fd868336511b306fbd202996615f12"/>
    <w:p>
      <w:pPr>
        <w:pStyle w:val="Heading1"/>
      </w:pPr>
      <w:r>
        <w:t xml:space="preserve">Product Carbon Footprint Analysis Report</w:t>
      </w:r>
    </w:p>
    <w:bookmarkStart w:id="23" w:name="product-mxjtqeyhey"/>
    <w:p>
      <w:pPr>
        <w:pStyle w:val="Heading2"/>
      </w:pPr>
      <w:r>
        <w:t xml:space="preserve">Product: mxjtqeyhey</w:t>
      </w:r>
    </w:p>
    <w:bookmarkStart w:id="22" w:name="company-ovfvtziogf"/>
    <w:p>
      <w:pPr>
        <w:pStyle w:val="Heading3"/>
      </w:pPr>
      <w:r>
        <w:t xml:space="preserve">Company: ovfvtziogf</w:t>
      </w:r>
    </w:p>
    <w:bookmarkStart w:id="21" w:name="Xf91d9aaefa756246c7ca0073c6dfd70d2d5f02c"/>
    <w:p>
      <w:pPr>
        <w:pStyle w:val="Heading4"/>
      </w:pPr>
      <w:r>
        <w:t xml:space="preserve">Senior Sustainability Consultant: spjeqoewvu</w:t>
      </w:r>
    </w:p>
    <w:p>
      <w:pPr>
        <w:pStyle w:val="FirstParagraph"/>
      </w:pPr>
      <w:r>
        <w:t xml:space="preserve">Generated Date: May 18, 2026</w:t>
      </w:r>
    </w:p>
    <w:p>
      <w:r>
        <w:pict>
          <v:rect style="width:0;height:1.5pt" o:hralign="center" o:hrstd="t" o:hr="t"/>
        </w:pict>
      </w:r>
    </w:p>
    <w:bookmarkEnd w:id="21"/>
    <w:bookmarkEnd w:id="22"/>
    <w:bookmarkEnd w:id="23"/>
    <w:bookmarkEnd w:id="24"/>
    <w:bookmarkStart w:id="25" w:name="executive-summary"/>
    <w:p>
      <w:pPr>
        <w:pStyle w:val="Heading2"/>
      </w:pPr>
      <w:r>
        <w:t xml:space="preserve">Executive Summary</w:t>
      </w:r>
    </w:p>
    <w:p>
      <w:pPr>
        <w:pStyle w:val="FirstParagraph"/>
      </w:pPr>
      <w:r>
        <w:t xml:space="preserve">This report presents a high-detail Product Carbon Footprint (PCF) analysis for the product "mxjtqeyhey" manufactured by "ovfvtziogf". The analysis was performed by Senior Sustainability Consultant spjeqoewvu, adhering strictly to the Greenhouse Gas (GHG) Protocol standards, including the Corporate Standard, Scope 3 Standard, and the Product Life Cycle Accounting and Reporting Standard. The assessment incorporates the forthcoming 2026 Land Sector and Removals (LSR) Standard update, where applicable, and aims for at least 95% coverage for Scope 3 emissions. The functional unit for this analysis is 1.0 unit of "mxjtqeyhey". The system boundary is defined as \'factory_gate\' for direct operational emissions, but a comprehensive cradle-to-grave approach for value chain (Scope 3) emissions is adopted to ensure a holistic PCF, as supported by the GHG Protocol Product Standard for understanding full life cycle emissions.</w:t>
      </w:r>
    </w:p>
    <w:p>
      <w:r>
        <w:pict>
          <v:rect style="width:0;height:1.5pt" o:hralign="center" o:hrstd="t" o:hr="t"/>
        </w:pict>
      </w:r>
    </w:p>
    <w:bookmarkEnd w:id="25"/>
    <w:bookmarkStart w:id="33" w:name="methodology-and-scope-definition"/>
    <w:p>
      <w:pPr>
        <w:pStyle w:val="Heading2"/>
      </w:pPr>
      <w:r>
        <w:t xml:space="preserve">1. Methodology and Scope Definition</w:t>
      </w:r>
    </w:p>
    <w:bookmarkStart w:id="26" w:name="functional-unit"/>
    <w:p>
      <w:pPr>
        <w:pStyle w:val="Heading3"/>
      </w:pPr>
      <w:r>
        <w:t xml:space="preserve">1.1 Functional Unit</w:t>
      </w:r>
    </w:p>
    <w:p>
      <w:pPr>
        <w:pStyle w:val="FirstParagraph"/>
      </w:pPr>
      <w:r>
        <w:t xml:space="preserve">The functional unit for this Product Carbon Footprint analysis is defined as</w:t>
      </w:r>
      <w:r>
        <w:t xml:space="preserve"> </w:t>
      </w:r>
      <w:r>
        <w:rPr>
          <w:bCs/>
          <w:b/>
        </w:rPr>
        <w:t xml:space="preserve">1.0 unit of mxjtqeyhey</w:t>
      </w:r>
      <w:r>
        <w:t xml:space="preserve">. This unit serves as the reference basis for all quantified environmental impacts, allowing for consistent comparison and aggregation of emissions across the product\'s lifecycle.</w:t>
      </w:r>
    </w:p>
    <w:bookmarkEnd w:id="26"/>
    <w:bookmarkStart w:id="27" w:name="system-boundary"/>
    <w:p>
      <w:pPr>
        <w:pStyle w:val="Heading3"/>
      </w:pPr>
      <w:r>
        <w:t xml:space="preserve">1.2 System Boundary</w:t>
      </w:r>
    </w:p>
    <w:p>
      <w:pPr>
        <w:pStyle w:val="FirstParagraph"/>
      </w:pPr>
      <w:r>
        <w:t xml:space="preserve">The system boundary for this analysis is specified as</w:t>
      </w:r>
      <w:r>
        <w:t xml:space="preserve"> </w:t>
      </w:r>
      <w:r>
        <w:rPr>
          <w:bCs/>
          <w:b/>
        </w:rPr>
        <w:t xml:space="preserve">\'factory_gate\'</w:t>
      </w:r>
      <w:r>
        <w:t xml:space="preserve"> </w:t>
      </w:r>
      <w:r>
        <w:t xml:space="preserve">for direct operational emissions (Scope 1 and Scope 2). However, in line with the GHG Protocol Product Standard and the requirement for comprehensive Scope 3 reporting, the analysis extends to cover all significant upstream and downstream value chain emissions, effectively adopting a \'cradle-to-grave\' perspective for the product\'s lifecycle carbon footprint. This includes raw material extraction, manufacturing, transportation, use-phase, and end-of-life treatment. This approach ensures a holistic understanding of the product\'s total environmental impact across its entire value chain, aligning with the GHG Protocol\'s guidance for product-level accounting.</w:t>
      </w:r>
    </w:p>
    <w:bookmarkEnd w:id="27"/>
    <w:bookmarkStart w:id="28" w:name="geographic-scope"/>
    <w:p>
      <w:pPr>
        <w:pStyle w:val="Heading3"/>
      </w:pPr>
      <w:r>
        <w:t xml:space="preserve">1.3 Geographic Scope</w:t>
      </w:r>
    </w:p>
    <w:p>
      <w:pPr>
        <w:pStyle w:val="FirstParagraph"/>
      </w:pPr>
      <w:r>
        <w:t xml:space="preserve">The geographic scope of the assessment is focused on the</w:t>
      </w:r>
      <w:r>
        <w:t xml:space="preserve"> </w:t>
      </w:r>
      <w:r>
        <w:rPr>
          <w:bCs/>
          <w:b/>
        </w:rPr>
        <w:t xml:space="preserve">Final Production Country: China</w:t>
      </w:r>
      <w:r>
        <w:t xml:space="preserve">, with a specific</w:t>
      </w:r>
      <w:r>
        <w:t xml:space="preserve"> </w:t>
      </w:r>
      <w:r>
        <w:rPr>
          <w:bCs/>
          <w:b/>
        </w:rPr>
        <w:t xml:space="preserve">Supply Chain Focus: Europe Focused</w:t>
      </w:r>
      <w:r>
        <w:t xml:space="preserve"> </w:t>
      </w:r>
      <w:r>
        <w:t xml:space="preserve">for upstream material sourcing. The use phase and end-of-life scenarios are considered globally, or based on typical market regions implied by generic product use.</w:t>
      </w:r>
    </w:p>
    <w:bookmarkEnd w:id="28"/>
    <w:bookmarkStart w:id="29" w:name="allocation"/>
    <w:p>
      <w:pPr>
        <w:pStyle w:val="Heading3"/>
      </w:pPr>
      <w:r>
        <w:t xml:space="preserve">1.4 Allocation</w:t>
      </w:r>
    </w:p>
    <w:p>
      <w:pPr>
        <w:pStyle w:val="FirstParagraph"/>
      </w:pPr>
      <w:r>
        <w:t xml:space="preserve">Emissions are allocated to the functional unit (1.0 unit of mxjtqeyhey) based on mass where appropriate for materials and energy. For shared transportation or processes, a pragmatic allocation approach (e.g., mass-distance or proportional to product volume/mass in a shipment) is applied.</w:t>
      </w:r>
    </w:p>
    <w:bookmarkEnd w:id="29"/>
    <w:bookmarkStart w:id="30" w:name="accounting-standard"/>
    <w:p>
      <w:pPr>
        <w:pStyle w:val="Heading3"/>
      </w:pPr>
      <w:r>
        <w:t xml:space="preserve">1.5 Accounting Standard</w:t>
      </w:r>
    </w:p>
    <w:p>
      <w:pPr>
        <w:pStyle w:val="FirstParagraph"/>
      </w:pPr>
      <w:r>
        <w:t xml:space="preserve">This analysis strictly adheres to the</w:t>
      </w:r>
      <w:r>
        <w:t xml:space="preserve"> </w:t>
      </w:r>
      <w:r>
        <w:rPr>
          <w:bCs/>
          <w:b/>
        </w:rPr>
        <w:t xml:space="preserve">GHG Protocol</w:t>
      </w:r>
      <w:r>
        <w:t xml:space="preserve"> </w:t>
      </w:r>
      <w:r>
        <w:t xml:space="preserve">standards, specifically:</w:t>
      </w:r>
    </w:p>
    <w:p>
      <w:pPr>
        <w:numPr>
          <w:ilvl w:val="0"/>
          <w:numId w:val="1001"/>
        </w:numPr>
        <w:pStyle w:val="Compact"/>
      </w:pPr>
      <w:r>
        <w:t xml:space="preserve">The Corporate Accounting and Reporting Standard</w:t>
      </w:r>
    </w:p>
    <w:p>
      <w:pPr>
        <w:numPr>
          <w:ilvl w:val="0"/>
          <w:numId w:val="1001"/>
        </w:numPr>
        <w:pStyle w:val="Compact"/>
      </w:pPr>
      <w:r>
        <w:t xml:space="preserve">The Corporate Value Chain (Scope 3) Accounting and Reporting Standard</w:t>
      </w:r>
    </w:p>
    <w:p>
      <w:pPr>
        <w:numPr>
          <w:ilvl w:val="0"/>
          <w:numId w:val="1001"/>
        </w:numPr>
        <w:pStyle w:val="Compact"/>
      </w:pPr>
      <w:r>
        <w:t xml:space="preserve">The Product Life Cycle Accounting and Reporting Standard</w:t>
      </w:r>
    </w:p>
    <w:bookmarkEnd w:id="30"/>
    <w:bookmarkStart w:id="31" w:name="lsr-update"/>
    <w:p>
      <w:pPr>
        <w:pStyle w:val="Heading3"/>
      </w:pPr>
      <w:r>
        <w:t xml:space="preserve">1.6 2026 LSR Update</w:t>
      </w:r>
    </w:p>
    <w:p>
      <w:pPr>
        <w:pStyle w:val="FirstParagraph"/>
      </w:pPr>
      <w:r>
        <w:t xml:space="preserve">The Land Sector and Removals (LSR) Standard, taking effect on January 1, 2027, provides requirements and guidance for quantifying, reporting, and tracking land emissions and CO₂ removals. While the specific manufacturing processes for "mxjtqeyhey" are not assumed to involve direct land-use change activities, the principles of the LSR Standard would be applied if raw materials or processes were directly linked to agriculture, forestry, or other land-intensive activities in a detailed supply chain analysis. The standard also covers technological CO₂ removals. For this generic product, direct land-use change emissions are not quantified, but their relevance to agricultural and biogenic material supply chains is acknowledged in adherence to the upcoming standard\'s principles.</w:t>
      </w:r>
    </w:p>
    <w:bookmarkEnd w:id="31"/>
    <w:bookmarkStart w:id="32" w:name="scope-3-compliance"/>
    <w:p>
      <w:pPr>
        <w:pStyle w:val="Heading3"/>
      </w:pPr>
      <w:r>
        <w:t xml:space="preserve">1.7 Scope 3 Compliance</w:t>
      </w:r>
    </w:p>
    <w:p>
      <w:pPr>
        <w:pStyle w:val="FirstParagraph"/>
      </w:pPr>
      <w:r>
        <w:t xml:space="preserve">A primary objective of this report is to achieve at least</w:t>
      </w:r>
      <w:r>
        <w:t xml:space="preserve"> </w:t>
      </w:r>
      <w:r>
        <w:rPr>
          <w:bCs/>
          <w:b/>
        </w:rPr>
        <w:t xml:space="preserve">95% coverage for Scope 3 reporting</w:t>
      </w:r>
      <w:r>
        <w:t xml:space="preserve">, aligning with anticipated 2026 requirements for comprehensive value chain emissions assessment. This ensures that all significant indirect emissions from purchased goods, transportation, product use, and end-of-life are captured and accounted for.</w:t>
      </w:r>
    </w:p>
    <w:p>
      <w:r>
        <w:pict>
          <v:rect style="width:0;height:1.5pt" o:hralign="center" o:hrstd="t" o:hr="t"/>
        </w:pict>
      </w:r>
    </w:p>
    <w:bookmarkEnd w:id="32"/>
    <w:bookmarkEnd w:id="33"/>
    <w:bookmarkStart w:id="39" w:name="lifecycle-mapping-and-data-collection"/>
    <w:p>
      <w:pPr>
        <w:pStyle w:val="Heading2"/>
      </w:pPr>
      <w:r>
        <w:t xml:space="preserve">2. Lifecycle Mapping and Data Collection</w:t>
      </w:r>
    </w:p>
    <w:p>
      <w:pPr>
        <w:pStyle w:val="FirstParagraph"/>
      </w:pPr>
      <w:r>
        <w:t xml:space="preserve">The lifecycle of mxjtqeyhey is mapped into several stages, from raw material acquisition to end-of-life. Data collection focuses on primary data where specified (e.g., BOM, energy usage) and secondary data from industry-standard emission factor databases (e.g., Ecoinvent/DEFRA principles) for generic processes and materials.</w:t>
      </w:r>
    </w:p>
    <w:bookmarkStart w:id="34" w:name="Xadbd43f8fb561bfdd72f0ccbb8def2f5244775d"/>
    <w:p>
      <w:pPr>
        <w:pStyle w:val="Heading3"/>
      </w:pPr>
      <w:r>
        <w:t xml:space="preserve">2.1 Detailed Bill of Materials (BOM) - gwdtzoip</w:t>
      </w:r>
    </w:p>
    <w:p>
      <w:pPr>
        <w:pStyle w:val="FirstParagraph"/>
      </w:pPr>
      <w:r>
        <w:t xml:space="preserve">The following table presents an illustrative Bill of Materials (BOM) for mxjtqeyhey, based on the provided placeholder \'gwdtzoip\'. The emission factors are indicative industry averages for cradle-to-gate material production, serving as upstream Scope 3, Category 1 (Purchased Goods and Services) emissions. The total product mass for calculation purposes is estimated based on these components.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6.7</w:t>
            </w:r>
          </w:p>
        </w:tc>
        <w:tc>
          <w:tcPr/>
          <w:p>
            <w:pPr>
              <w:pStyle w:val="Compact"/>
              <w:jc w:val="left"/>
            </w:pPr>
            <w:r>
              <w:t xml:space="preserve">3.35</w:t>
            </w:r>
          </w:p>
        </w:tc>
      </w:tr>
      <w:tr>
        <w:tc>
          <w:tcPr/>
          <w:p>
            <w:pPr>
              <w:pStyle w:val="Compact"/>
              <w:jc w:val="left"/>
            </w:pPr>
            <w:r>
              <w:t xml:space="preserve">M002</w:t>
            </w:r>
          </w:p>
        </w:tc>
        <w:tc>
          <w:tcPr/>
          <w:p>
            <w:pPr>
              <w:pStyle w:val="Compact"/>
              <w:jc w:val="left"/>
            </w:pPr>
            <w:r>
              <w:t xml:space="preserve">ABS 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w:t>
            </w:r>
          </w:p>
        </w:tc>
        <w:tc>
          <w:tcPr/>
          <w:p>
            <w:pPr>
              <w:pStyle w:val="Compact"/>
              <w:jc w:val="left"/>
            </w:pPr>
            <w:r>
              <w:t xml:space="preserve">0.125</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20.0</w:t>
            </w:r>
          </w:p>
        </w:tc>
        <w:tc>
          <w:tcPr/>
          <w:p>
            <w:pPr>
              <w:pStyle w:val="Compact"/>
              <w:jc w:val="left"/>
            </w:pPr>
            <w:r>
              <w:t xml:space="preserve">3.00</w:t>
            </w:r>
          </w:p>
        </w:tc>
      </w:tr>
      <w:tr>
        <w:tc>
          <w:tcPr/>
          <w:p>
            <w:pPr>
              <w:pStyle w:val="Compact"/>
              <w:jc w:val="left"/>
            </w:pPr>
            <w:r>
              <w:t xml:space="preserve">M006</w:t>
            </w:r>
          </w:p>
        </w:tc>
        <w:tc>
          <w:tcPr/>
          <w:p>
            <w:pPr>
              <w:pStyle w:val="Compact"/>
              <w:jc w:val="left"/>
            </w:pPr>
            <w:r>
              <w:t xml:space="preserve">Glass Display</w:t>
            </w:r>
          </w:p>
        </w:tc>
        <w:tc>
          <w:tcPr/>
          <w:p>
            <w:pPr>
              <w:pStyle w:val="Compact"/>
              <w:jc w:val="left"/>
            </w:pPr>
            <w:r>
              <w:t xml:space="preserve">Glass</w:t>
            </w:r>
          </w:p>
        </w:tc>
        <w:tc>
          <w:tcPr/>
          <w:p>
            <w:pPr>
              <w:pStyle w:val="Compact"/>
              <w:jc w:val="left"/>
            </w:pPr>
            <w:r>
              <w:t xml:space="preserve">Fabrication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r>
        <w:tc>
          <w:tcPr>
            <w:gridSpan w:val="7"/>
          </w:tcPr>
          <w:p>
            <w:pPr>
              <w:pStyle w:val="Compact"/>
              <w:jc w:val="left"/>
            </w:pPr>
            <w:r>
              <w:t xml:space="preserve">Total Estimated Product Mass (kg)</w:t>
            </w:r>
          </w:p>
        </w:tc>
        <w:tc>
          <w:tcPr/>
          <w:p>
            <w:pPr>
              <w:pStyle w:val="Compact"/>
              <w:jc w:val="left"/>
            </w:pPr>
            <w:r>
              <w:t xml:space="preserve">1.1</w:t>
            </w:r>
          </w:p>
        </w:tc>
      </w:tr>
      <w:tr>
        <w:tc>
          <w:tcPr>
            <w:gridSpan w:val="7"/>
          </w:tcPr>
          <w:p>
            <w:pPr>
              <w:pStyle w:val="Compact"/>
              <w:jc w:val="left"/>
            </w:pPr>
            <w:r>
              <w:t xml:space="preserve">Total Material Carbon Footprint (kgCO2e)</w:t>
            </w:r>
          </w:p>
        </w:tc>
        <w:tc>
          <w:tcPr/>
          <w:p>
            <w:pPr>
              <w:pStyle w:val="Compact"/>
              <w:jc w:val="left"/>
            </w:pPr>
            <w:r>
              <w:t xml:space="preserve">8.295</w:t>
            </w:r>
          </w:p>
        </w:tc>
      </w:tr>
    </w:tbl>
    <w:p>
      <w:pPr>
        <w:pStyle w:val="BodyText"/>
      </w:pPr>
      <w:r>
        <w:rPr>
          <w:iCs/>
          <w:i/>
        </w:rPr>
        <w:t xml:space="preserve">Note: Emission factors are illustrative and based on general industry averages, reflecting cradle-to-gate impacts.</w:t>
      </w:r>
    </w:p>
    <w:bookmarkEnd w:id="34"/>
    <w:bookmarkStart w:id="35" w:name="energy-inputs-production-phase"/>
    <w:p>
      <w:pPr>
        <w:pStyle w:val="Heading3"/>
      </w:pPr>
      <w:r>
        <w:t xml:space="preserve">2.2 Energy Inputs (Production Phase)</w:t>
      </w:r>
    </w:p>
    <w:p>
      <w:pPr>
        <w:pStyle w:val="FirstParagraph"/>
      </w:pPr>
      <w:r>
        <w:t xml:space="preserve">The production phase for mxjtqeyhey takes place in China.</w:t>
      </w:r>
    </w:p>
    <w:p>
      <w:pPr>
        <w:numPr>
          <w:ilvl w:val="0"/>
          <w:numId w:val="1002"/>
        </w:numPr>
        <w:pStyle w:val="Compact"/>
      </w:pPr>
      <w:r>
        <w:rPr>
          <w:bCs/>
          <w:b/>
        </w:rPr>
        <w:t xml:space="preserve">Renewable Energy Usage (lxytvousmy):</w:t>
      </w:r>
      <w:r>
        <w:t xml:space="preserve"> </w:t>
      </w:r>
      <w:r>
        <w:t xml:space="preserve">50%</w:t>
      </w:r>
    </w:p>
    <w:p>
      <w:pPr>
        <w:numPr>
          <w:ilvl w:val="0"/>
          <w:numId w:val="1002"/>
        </w:numPr>
        <w:pStyle w:val="Compact"/>
      </w:pPr>
      <w:r>
        <w:rPr>
          <w:bCs/>
          <w:b/>
        </w:rPr>
        <w:t xml:space="preserve">Energy Intensity (prgkgqovsr):</w:t>
      </w:r>
      <w:r>
        <w:t xml:space="preserve"> </w:t>
      </w:r>
      <w:r>
        <w:t xml:space="preserve">10 kWh/unit</w:t>
      </w:r>
    </w:p>
    <w:p>
      <w:pPr>
        <w:numPr>
          <w:ilvl w:val="0"/>
          <w:numId w:val="1002"/>
        </w:numPr>
        <w:pStyle w:val="Compact"/>
      </w:pPr>
      <w:r>
        <w:rPr>
          <w:bCs/>
          <w:b/>
        </w:rPr>
        <w:t xml:space="preserve">China Electricity Grid Mix Emission Factor (2023):</w:t>
      </w:r>
      <w:r>
        <w:t xml:space="preserve"> </w:t>
      </w:r>
      <w:r>
        <w:t xml:space="preserve">0.6205 kgCO2e/kWh (national average)</w:t>
      </w:r>
    </w:p>
    <w:p>
      <w:pPr>
        <w:numPr>
          <w:ilvl w:val="0"/>
          <w:numId w:val="1002"/>
        </w:numPr>
        <w:pStyle w:val="Compact"/>
      </w:pPr>
      <w:r>
        <w:rPr>
          <w:bCs/>
          <w:b/>
        </w:rPr>
        <w:t xml:space="preserve">China Electricity Transmission &amp; Distribution (T&amp;D) Loss Factor:</w:t>
      </w:r>
      <w:r>
        <w:t xml:space="preserve"> </w:t>
      </w:r>
      <w:r>
        <w:t xml:space="preserve">0.0036 kgCO2e/kWh (excluding line losses)</w:t>
      </w:r>
    </w:p>
    <w:bookmarkEnd w:id="35"/>
    <w:bookmarkStart w:id="36" w:name="logistics-data"/>
    <w:p>
      <w:pPr>
        <w:pStyle w:val="Heading3"/>
      </w:pPr>
      <w:r>
        <w:t xml:space="preserve">2.3 Logistics Data</w:t>
      </w:r>
    </w:p>
    <w:p>
      <w:pPr>
        <w:pStyle w:val="FirstParagraph"/>
      </w:pPr>
      <w:r>
        <w:t xml:space="preserve">Logistics for raw materials and finished products are crucial for Scope 3 emissions:</w:t>
      </w:r>
    </w:p>
    <w:p>
      <w:pPr>
        <w:numPr>
          <w:ilvl w:val="0"/>
          <w:numId w:val="1003"/>
        </w:numPr>
        <w:pStyle w:val="Compact"/>
      </w:pPr>
      <w:r>
        <w:rPr>
          <w:bCs/>
          <w:b/>
        </w:rPr>
        <w:t xml:space="preserve">Upstream Transport (Materials to Factory - Europe to China):</w:t>
      </w:r>
    </w:p>
    <w:p>
      <w:pPr>
        <w:numPr>
          <w:ilvl w:val="1"/>
          <w:numId w:val="1004"/>
        </w:numPr>
        <w:pStyle w:val="Compact"/>
      </w:pPr>
      <w:r>
        <w:rPr>
          <w:bCs/>
          <w:b/>
        </w:rPr>
        <w:t xml:space="preserve">Transport Mode (Select Mode):</w:t>
      </w:r>
      <w:r>
        <w:t xml:space="preserve"> </w:t>
      </w:r>
      <w:r>
        <w:t xml:space="preserve">Road Freight (Heavy Duty Truck)</w:t>
      </w:r>
    </w:p>
    <w:p>
      <w:pPr>
        <w:numPr>
          <w:ilvl w:val="1"/>
          <w:numId w:val="1004"/>
        </w:numPr>
        <w:pStyle w:val="Compact"/>
      </w:pPr>
      <w:r>
        <w:rPr>
          <w:bCs/>
          <w:b/>
        </w:rPr>
        <w:t xml:space="preserve">Transport Distance (vlqonqhlos):</w:t>
      </w:r>
      <w:r>
        <w:t xml:space="preserve"> </w:t>
      </w:r>
      <w:r>
        <w:t xml:space="preserve">8000 km</w:t>
      </w:r>
    </w:p>
    <w:p>
      <w:pPr>
        <w:numPr>
          <w:ilvl w:val="1"/>
          <w:numId w:val="1004"/>
        </w:numPr>
        <w:pStyle w:val="Compact"/>
      </w:pPr>
      <w:r>
        <w:rPr>
          <w:bCs/>
          <w:b/>
        </w:rPr>
        <w:t xml:space="preserve">Emission Factor (Road Freight, Europe):</w:t>
      </w:r>
      <w:r>
        <w:t xml:space="preserve"> </w:t>
      </w:r>
      <w:r>
        <w:t xml:space="preserve">0.07 kgCO2e/tkm (illustrative average)</w:t>
      </w:r>
    </w:p>
    <w:p>
      <w:pPr>
        <w:numPr>
          <w:ilvl w:val="0"/>
          <w:numId w:val="1003"/>
        </w:numPr>
        <w:pStyle w:val="Compact"/>
      </w:pPr>
      <w:r>
        <w:rPr>
          <w:bCs/>
          <w:b/>
        </w:rPr>
        <w:t xml:space="preserve">Downstream Transport (Last-Mile Delivery - Factory to Customer):</w:t>
      </w:r>
    </w:p>
    <w:p>
      <w:pPr>
        <w:numPr>
          <w:ilvl w:val="1"/>
          <w:numId w:val="1005"/>
        </w:numPr>
        <w:pStyle w:val="Compact"/>
      </w:pPr>
      <w:r>
        <w:rPr>
          <w:bCs/>
          <w:b/>
        </w:rPr>
        <w:t xml:space="preserve">Transport Mode (Delivery Type):</w:t>
      </w:r>
      <w:r>
        <w:t xml:space="preserve"> </w:t>
      </w:r>
      <w:r>
        <w:t xml:space="preserve">Parcel Delivery Van (Standard Parcel Shipping)</w:t>
      </w:r>
    </w:p>
    <w:p>
      <w:pPr>
        <w:numPr>
          <w:ilvl w:val="1"/>
          <w:numId w:val="1005"/>
        </w:numPr>
        <w:pStyle w:val="Compact"/>
      </w:pPr>
      <w:r>
        <w:rPr>
          <w:bCs/>
          <w:b/>
        </w:rPr>
        <w:t xml:space="preserve">Transport Distance (vlqonqhlos):</w:t>
      </w:r>
      <w:r>
        <w:t xml:space="preserve"> </w:t>
      </w:r>
      <w:r>
        <w:t xml:space="preserve">500 km</w:t>
      </w:r>
    </w:p>
    <w:p>
      <w:pPr>
        <w:numPr>
          <w:ilvl w:val="1"/>
          <w:numId w:val="1005"/>
        </w:numPr>
        <w:pStyle w:val="Compact"/>
      </w:pPr>
      <w:r>
        <w:rPr>
          <w:bCs/>
          <w:b/>
        </w:rPr>
        <w:t xml:space="preserve">Emission Factor (Parcel Delivery Van):</w:t>
      </w:r>
      <w:r>
        <w:t xml:space="preserve"> </w:t>
      </w:r>
      <w:r>
        <w:t xml:space="preserve">For a 2kg package, 1000km road freight is approximately 0.21 kgCO2e. Thus, for a single unit of mxjtqeyhey (estimated at 1.1 kg), we\'ll use a scaled factor. For a parcel van, a direct emission factor is 0.24934 kgCO2e/km. Assuming an average of 100 packages per van for the 500km journey, the emission per package is approx (0.24934 kgCO2e/km * 500 km) / 100 packages = 1.2467 kgCO2e per package.</w:t>
      </w:r>
    </w:p>
    <w:bookmarkEnd w:id="36"/>
    <w:bookmarkStart w:id="37" w:name="use-phase-data"/>
    <w:p>
      <w:pPr>
        <w:pStyle w:val="Heading3"/>
      </w:pPr>
      <w:r>
        <w:t xml:space="preserve">2.4 Use Phase Data</w:t>
      </w:r>
    </w:p>
    <w:p>
      <w:pPr>
        <w:pStyle w:val="FirstParagraph"/>
      </w:pPr>
      <w:r>
        <w:t xml:space="preserve">The operational energy consumption during the product\'s use is a significant downstream emission source (Scope 3, Category 11).</w:t>
      </w:r>
    </w:p>
    <w:p>
      <w:pPr>
        <w:numPr>
          <w:ilvl w:val="0"/>
          <w:numId w:val="1006"/>
        </w:numPr>
        <w:pStyle w:val="Compact"/>
      </w:pPr>
      <w:r>
        <w:rPr>
          <w:bCs/>
          <w:b/>
        </w:rPr>
        <w:t xml:space="preserve">Product Lifespan (qoqttszulq):</w:t>
      </w:r>
      <w:r>
        <w:t xml:space="preserve"> </w:t>
      </w:r>
      <w:r>
        <w:t xml:space="preserve">5 years (typical for consumer electronics)</w:t>
      </w:r>
    </w:p>
    <w:p>
      <w:pPr>
        <w:numPr>
          <w:ilvl w:val="0"/>
          <w:numId w:val="1006"/>
        </w:numPr>
        <w:pStyle w:val="Compact"/>
      </w:pPr>
      <w:r>
        <w:rPr>
          <w:bCs/>
          <w:b/>
        </w:rPr>
        <w:t xml:space="preserve">Energy Consumption in Use (serldpqvzo):</w:t>
      </w:r>
      <w:r>
        <w:t xml:space="preserve"> </w:t>
      </w:r>
      <w:r>
        <w:t xml:space="preserve">5 kWh/year (illustrative for a small electronic device)</w:t>
      </w:r>
    </w:p>
    <w:p>
      <w:pPr>
        <w:numPr>
          <w:ilvl w:val="0"/>
          <w:numId w:val="1006"/>
        </w:numPr>
        <w:pStyle w:val="Compact"/>
      </w:pPr>
      <w:r>
        <w:rPr>
          <w:bCs/>
          <w:b/>
        </w:rPr>
        <w:t xml:space="preserve">Electricity Grid Mix Emission Factor (Use Phase):</w:t>
      </w:r>
      <w:r>
        <w:t xml:space="preserve"> </w:t>
      </w:r>
      <w:r>
        <w:t xml:space="preserve">Assuming a global average grid mix for generic product use: 0.5 kgCO2e/kWh (illustrative)</w:t>
      </w:r>
    </w:p>
    <w:bookmarkEnd w:id="37"/>
    <w:bookmarkStart w:id="38" w:name="end-of-life-eol-data"/>
    <w:p>
      <w:pPr>
        <w:pStyle w:val="Heading3"/>
      </w:pPr>
      <w:r>
        <w:t xml:space="preserve">2.5 End-of-Life (EoL) Data</w:t>
      </w:r>
    </w:p>
    <w:p>
      <w:pPr>
        <w:pStyle w:val="FirstParagraph"/>
      </w:pPr>
      <w:r>
        <w:t xml:space="preserve">The end-of-life treatment impacts the overall footprint (Scope 3, Category 12).</w:t>
      </w:r>
    </w:p>
    <w:p>
      <w:pPr>
        <w:numPr>
          <w:ilvl w:val="0"/>
          <w:numId w:val="1007"/>
        </w:numPr>
        <w:pStyle w:val="Compact"/>
      </w:pPr>
      <w:r>
        <w:rPr>
          <w:bCs/>
          <w:b/>
        </w:rPr>
        <w:t xml:space="preserve">Recyclability Percentage (rizokvgymm):</w:t>
      </w:r>
      <w:r>
        <w:t xml:space="preserve"> </w:t>
      </w:r>
      <w:r>
        <w:t xml:space="preserve">70% (Considering mixed materials, this is an optimistic average. Metals typically have higher recycling rates than plastics)</w:t>
      </w:r>
    </w:p>
    <w:p>
      <w:pPr>
        <w:numPr>
          <w:ilvl w:val="0"/>
          <w:numId w:val="1007"/>
        </w:numPr>
        <w:pStyle w:val="Compact"/>
      </w:pPr>
      <w:r>
        <w:rPr>
          <w:bCs/>
          <w:b/>
        </w:rPr>
        <w:t xml:space="preserve">Circular/Take-back Programs (ondvyezejz):</w:t>
      </w:r>
      <w:r>
        <w:t xml:space="preserve"> </w:t>
      </w:r>
      <w:r>
        <w:t xml:space="preserve">Company-initiated take-back and recycling program in place. This program aims to maximize the recovery and recycling of materials, minimizing landfill waste and reducing demand for virgin resources.</w:t>
      </w:r>
    </w:p>
    <w:p>
      <w:r>
        <w:pict>
          <v:rect style="width:0;height:1.5pt" o:hralign="center" o:hrstd="t" o:hr="t"/>
        </w:pict>
      </w:r>
    </w:p>
    <w:bookmarkEnd w:id="38"/>
    <w:bookmarkEnd w:id="39"/>
    <w:bookmarkStart w:id="51" w:name="calculation-of-emissions"/>
    <w:p>
      <w:pPr>
        <w:pStyle w:val="Heading2"/>
      </w:pPr>
      <w:r>
        <w:t xml:space="preserve">3. Calculation of Emissions</w:t>
      </w:r>
    </w:p>
    <w:p>
      <w:pPr>
        <w:pStyle w:val="FirstParagraph"/>
      </w:pPr>
      <w:r>
        <w:t xml:space="preserve">Emissions are calculated using the formula: Activity Data × Emission Factor = CO2e. Industry-standard emission factors are applied, derived from principles similar to Ecoinvent/DEFRA.</w:t>
      </w:r>
    </w:p>
    <w:bookmarkStart w:id="40" w:name="scope-1-emissions-direct-emissions"/>
    <w:p>
      <w:pPr>
        <w:pStyle w:val="Heading3"/>
      </w:pPr>
      <w:r>
        <w:t xml:space="preserve">3.1 Scope 1 Emissions (Direct Emissions)</w:t>
      </w:r>
    </w:p>
    <w:p>
      <w:pPr>
        <w:pStyle w:val="FirstParagraph"/>
      </w:pPr>
      <w:r>
        <w:t xml:space="preserve">For the manufacturing of "mxjtqeyhey" at the ovfvtziogf factory, direct emissions from owned or controlled sources are considered. Assuming typical electronics manufacturing with no on-site fuel combustion for production processes,</w:t>
      </w:r>
      <w:r>
        <w:t xml:space="preserve"> </w:t>
      </w:r>
      <w:r>
        <w:rPr>
          <w:bCs/>
          <w:b/>
        </w:rPr>
        <w:t xml:space="preserve">Scope 1 emissions are considered negligible</w:t>
      </w:r>
      <w:r>
        <w:t xml:space="preserve"> </w:t>
      </w:r>
      <w:r>
        <w:t xml:space="preserve">for this product-specific analysis. If there were direct process emissions or on-site fuel use, these would be quantified here.</w:t>
      </w:r>
    </w:p>
    <w:p>
      <w:pPr>
        <w:pStyle w:val="BodyText"/>
      </w:pPr>
      <w:r>
        <w:rPr>
          <w:bCs/>
          <w:b/>
        </w:rPr>
        <w:t xml:space="preserve">Total Scope 1 Emissions: 0.00 kgCO2e/unit</w:t>
      </w:r>
    </w:p>
    <w:bookmarkEnd w:id="40"/>
    <w:bookmarkStart w:id="41" w:name="scope-2-emissions-purchased-electricity"/>
    <w:p>
      <w:pPr>
        <w:pStyle w:val="Heading3"/>
      </w:pPr>
      <w:r>
        <w:t xml:space="preserve">3.2 Scope 2 Emissions (Purchased Electricity)</w:t>
      </w:r>
    </w:p>
    <w:p>
      <w:pPr>
        <w:pStyle w:val="FirstParagraph"/>
      </w:pPr>
      <w:r>
        <w:t xml:space="preserve">These emissions arise from the generation of purchased electricity consumed during the product\'s manufacturing in China.</w:t>
      </w:r>
    </w:p>
    <w:p>
      <w:pPr>
        <w:numPr>
          <w:ilvl w:val="0"/>
          <w:numId w:val="1008"/>
        </w:numPr>
        <w:pStyle w:val="Compact"/>
      </w:pPr>
      <w:r>
        <w:t xml:space="preserve">Total Energy Intensity: 10 kWh/unit [prgkgqovsr]</w:t>
      </w:r>
    </w:p>
    <w:p>
      <w:pPr>
        <w:numPr>
          <w:ilvl w:val="0"/>
          <w:numId w:val="1008"/>
        </w:numPr>
        <w:pStyle w:val="Compact"/>
      </w:pPr>
      <w:r>
        <w:t xml:space="preserve">Renewable Energy Usage: 50% [lxytvousmy]</w:t>
      </w:r>
    </w:p>
    <w:p>
      <w:pPr>
        <w:numPr>
          <w:ilvl w:val="0"/>
          <w:numId w:val="1008"/>
        </w:numPr>
        <w:pStyle w:val="Compact"/>
      </w:pPr>
      <w:r>
        <w:t xml:space="preserve">Non-renewable Electricity Consumption: 10 kWh/unit * (1 - 0.50) = 5 kWh/unit</w:t>
      </w:r>
    </w:p>
    <w:p>
      <w:pPr>
        <w:numPr>
          <w:ilvl w:val="0"/>
          <w:numId w:val="1008"/>
        </w:numPr>
        <w:pStyle w:val="Compact"/>
      </w:pPr>
      <w:r>
        <w:t xml:space="preserve">China Grid Mix Emission Factor: 0.6205 kgCO2e/kWh</w:t>
      </w:r>
    </w:p>
    <w:p>
      <w:pPr>
        <w:pStyle w:val="FirstParagraph"/>
      </w:pPr>
      <w:r>
        <w:rPr>
          <w:bCs/>
          <w:b/>
        </w:rPr>
        <w:t xml:space="preserve">Calculation:</w:t>
      </w:r>
      <w:r>
        <w:t xml:space="preserve"> </w:t>
      </w:r>
      <w:r>
        <w:t xml:space="preserve">5 kWh/unit * 0.6205 kgCO2e/kWh = 3.1025 kgCO2e/unit</w:t>
      </w:r>
    </w:p>
    <w:p>
      <w:pPr>
        <w:pStyle w:val="BodyText"/>
      </w:pPr>
      <w:r>
        <w:rPr>
          <w:bCs/>
          <w:b/>
        </w:rPr>
        <w:t xml:space="preserve">Total Scope 2 Emissions: 3.10 kgCO2e/unit</w:t>
      </w:r>
    </w:p>
    <w:bookmarkEnd w:id="41"/>
    <w:bookmarkStart w:id="50" w:name="scope-3-emissions-value-chain-emissions"/>
    <w:p>
      <w:pPr>
        <w:pStyle w:val="Heading3"/>
      </w:pPr>
      <w:r>
        <w:t xml:space="preserve">3.3 Scope 3 Emissions (Value Chain Emissions)</w:t>
      </w:r>
    </w:p>
    <w:p>
      <w:pPr>
        <w:pStyle w:val="FirstParagraph"/>
      </w:pPr>
      <w:r>
        <w:t xml:space="preserve">Scope 3 emissions are categorized into upstream and downstream activities as per GHG Protocol Scope 3 Standard.</w:t>
      </w:r>
    </w:p>
    <w:bookmarkStart w:id="45" w:name="upstream-scope-3-emissions"/>
    <w:p>
      <w:pPr>
        <w:pStyle w:val="Heading4"/>
      </w:pPr>
      <w:r>
        <w:t xml:space="preserve">3.3.1 Upstream Scope 3 Emissions</w:t>
      </w:r>
    </w:p>
    <w:bookmarkStart w:id="42" w:name="Xab9729a0caae076ca89f2f71668734f92723cf2"/>
    <w:p>
      <w:pPr>
        <w:pStyle w:val="Heading5"/>
      </w:pPr>
      <w:r>
        <w:t xml:space="preserve">Category 1: Purchased Goods and Services (Materials)</w:t>
      </w:r>
    </w:p>
    <w:p>
      <w:pPr>
        <w:pStyle w:val="FirstParagraph"/>
      </w:pPr>
      <w:r>
        <w:t xml:space="preserve">These emissions represent the cradle-to-gate impact of raw materials and components used in "mxjtqeyhey".</w:t>
      </w:r>
    </w:p>
    <w:p>
      <w:pPr>
        <w:numPr>
          <w:ilvl w:val="0"/>
          <w:numId w:val="1009"/>
        </w:numPr>
        <w:pStyle w:val="Compact"/>
      </w:pPr>
      <w:r>
        <w:t xml:space="preserve">Total Material Carbon Footprint (from BOM table): 8.295 kgCO2e/unit</w:t>
      </w:r>
    </w:p>
    <w:p>
      <w:pPr>
        <w:pStyle w:val="FirstParagraph"/>
      </w:pPr>
      <w:r>
        <w:rPr>
          <w:bCs/>
          <w:b/>
        </w:rPr>
        <w:t xml:space="preserve">Total Scope 3, Category 1 Emissions: 8.30 kgCO2e/unit</w:t>
      </w:r>
    </w:p>
    <w:bookmarkEnd w:id="42"/>
    <w:bookmarkStart w:id="43" w:name="X86b1ef26135786e8167e5b944deb7c6894e4292"/>
    <w:p>
      <w:pPr>
        <w:pStyle w:val="Heading5"/>
      </w:pPr>
      <w:r>
        <w:t xml:space="preserve">Category 3: Fuel- and Energy-Related Activities Not Included in Scope 1 or Scope 2 (T&amp;D Losses for Purchased Electricity)</w:t>
      </w:r>
    </w:p>
    <w:p>
      <w:pPr>
        <w:pStyle w:val="FirstParagraph"/>
      </w:pPr>
      <w:r>
        <w:t xml:space="preserve">This includes emissions from the transmission and distribution losses associated with the purchased electricity for manufacturing.</w:t>
      </w:r>
    </w:p>
    <w:p>
      <w:pPr>
        <w:numPr>
          <w:ilvl w:val="0"/>
          <w:numId w:val="1010"/>
        </w:numPr>
        <w:pStyle w:val="Compact"/>
      </w:pPr>
      <w:r>
        <w:t xml:space="preserve">Total Electricity Purchased: 10 kWh/unit</w:t>
      </w:r>
    </w:p>
    <w:p>
      <w:pPr>
        <w:numPr>
          <w:ilvl w:val="0"/>
          <w:numId w:val="1010"/>
        </w:numPr>
        <w:pStyle w:val="Compact"/>
      </w:pPr>
      <w:r>
        <w:t xml:space="preserve">China T&amp;D Loss Factor: 0.0036 kgCO2e/kWh</w:t>
      </w:r>
    </w:p>
    <w:p>
      <w:pPr>
        <w:pStyle w:val="FirstParagraph"/>
      </w:pPr>
      <w:r>
        <w:rPr>
          <w:bCs/>
          <w:b/>
        </w:rPr>
        <w:t xml:space="preserve">Calculation:</w:t>
      </w:r>
      <w:r>
        <w:t xml:space="preserve"> </w:t>
      </w:r>
      <w:r>
        <w:t xml:space="preserve">10 kWh/unit * 0.0036 kgCO2e/kWh = 0.036 kgCO2e/unit</w:t>
      </w:r>
    </w:p>
    <w:p>
      <w:pPr>
        <w:pStyle w:val="BodyText"/>
      </w:pPr>
      <w:r>
        <w:rPr>
          <w:bCs/>
          <w:b/>
        </w:rPr>
        <w:t xml:space="preserve">Total Scope 3, Category 3 Emissions: 0.04 kgCO2e/unit</w:t>
      </w:r>
    </w:p>
    <w:bookmarkEnd w:id="43"/>
    <w:bookmarkStart w:id="44" w:name="X8498ada35b8b56846ac09b8d90cfd82892d1c2a"/>
    <w:p>
      <w:pPr>
        <w:pStyle w:val="Heading5"/>
      </w:pPr>
      <w:r>
        <w:t xml:space="preserve">Category 4: Upstream Transportation and Distribution (Materials to Factory)</w:t>
      </w:r>
    </w:p>
    <w:p>
      <w:pPr>
        <w:pStyle w:val="FirstParagraph"/>
      </w:pPr>
      <w:r>
        <w:t xml:space="preserve">This covers the transport of raw materials from Europe to the manufacturing facility in China.</w:t>
      </w:r>
    </w:p>
    <w:p>
      <w:pPr>
        <w:numPr>
          <w:ilvl w:val="0"/>
          <w:numId w:val="1011"/>
        </w:numPr>
        <w:pStyle w:val="Compact"/>
      </w:pPr>
      <w:r>
        <w:t xml:space="preserve">Total Estimated Product Mass: 1.1 kg/unit</w:t>
      </w:r>
    </w:p>
    <w:p>
      <w:pPr>
        <w:numPr>
          <w:ilvl w:val="0"/>
          <w:numId w:val="1011"/>
        </w:numPr>
        <w:pStyle w:val="Compact"/>
      </w:pPr>
      <w:r>
        <w:t xml:space="preserve">Assumed Material Input Mass (for transport) = 1.1 kg/unit (simplified for total product mass)</w:t>
      </w:r>
    </w:p>
    <w:p>
      <w:pPr>
        <w:numPr>
          <w:ilvl w:val="0"/>
          <w:numId w:val="1011"/>
        </w:numPr>
        <w:pStyle w:val="Compact"/>
      </w:pPr>
      <w:r>
        <w:t xml:space="preserve">Transport Distance: 8000 km [vlqonqhlos]</w:t>
      </w:r>
    </w:p>
    <w:p>
      <w:pPr>
        <w:numPr>
          <w:ilvl w:val="0"/>
          <w:numId w:val="1011"/>
        </w:numPr>
        <w:pStyle w:val="Compact"/>
      </w:pPr>
      <w:r>
        <w:t xml:space="preserve">Emission Factor (Road Freight, Europe): 0.07 kgCO2e/tkm</w:t>
      </w:r>
    </w:p>
    <w:p>
      <w:pPr>
        <w:pStyle w:val="FirstParagraph"/>
      </w:pPr>
      <w:r>
        <w:rPr>
          <w:bCs/>
          <w:b/>
        </w:rPr>
        <w:t xml:space="preserve">Calculation:</w:t>
      </w:r>
      <w:r>
        <w:t xml:space="preserve"> </w:t>
      </w:r>
      <w:r>
        <w:t xml:space="preserve">(1.1 kg / 1000 kg/tonne) * 8000 km * 0.07 kgCO2e/tkm = 0.0011 tonne * 8000 km * 0.07 kgCO2e/tkm = 0.616 kgCO2e/unit</w:t>
      </w:r>
    </w:p>
    <w:p>
      <w:pPr>
        <w:pStyle w:val="BodyText"/>
      </w:pPr>
      <w:r>
        <w:rPr>
          <w:bCs/>
          <w:b/>
        </w:rPr>
        <w:t xml:space="preserve">Total Scope 3, Category 4 Emissions: 0.62 kgCO2e/unit</w:t>
      </w:r>
    </w:p>
    <w:bookmarkEnd w:id="44"/>
    <w:bookmarkEnd w:id="45"/>
    <w:bookmarkStart w:id="49" w:name="downstream-scope-3-emissions"/>
    <w:p>
      <w:pPr>
        <w:pStyle w:val="Heading4"/>
      </w:pPr>
      <w:r>
        <w:t xml:space="preserve">3.3.2 Downstream Scope 3 Emissions</w:t>
      </w:r>
    </w:p>
    <w:bookmarkStart w:id="46" w:name="Xe6a609cc71639c4bb5b5bcd247c776c9d89fa33"/>
    <w:p>
      <w:pPr>
        <w:pStyle w:val="Heading5"/>
      </w:pPr>
      <w:r>
        <w:t xml:space="preserve">Category 9: Downstream Transportation and Distribution (Last-Mile Delivery)</w:t>
      </w:r>
    </w:p>
    <w:p>
      <w:pPr>
        <w:pStyle w:val="FirstParagraph"/>
      </w:pPr>
      <w:r>
        <w:t xml:space="preserve">This accounts for the transport of the finished product from the factory to the end-customer via standard parcel shipping.</w:t>
      </w:r>
    </w:p>
    <w:p>
      <w:pPr>
        <w:numPr>
          <w:ilvl w:val="0"/>
          <w:numId w:val="1012"/>
        </w:numPr>
        <w:pStyle w:val="Compact"/>
      </w:pPr>
      <w:r>
        <w:t xml:space="preserve">Product Mass: 1.1 kg/unit</w:t>
      </w:r>
    </w:p>
    <w:p>
      <w:pPr>
        <w:numPr>
          <w:ilvl w:val="0"/>
          <w:numId w:val="1012"/>
        </w:numPr>
        <w:pStyle w:val="Compact"/>
      </w:pPr>
      <w:r>
        <w:t xml:space="preserve">Transport Distance: 500 km [vlqonqhlos]</w:t>
      </w:r>
    </w:p>
    <w:p>
      <w:pPr>
        <w:numPr>
          <w:ilvl w:val="0"/>
          <w:numId w:val="1012"/>
        </w:numPr>
        <w:pStyle w:val="Compact"/>
      </w:pPr>
      <w:r>
        <w:t xml:space="preserve">Emission Factor (Parcel Delivery Van): For a 2kg package, 1000km road freight is 0.21 kgCO2e. Therefore, for a 1.1kg package over 500km, a proportionate calculation: (0.21 kgCO2e / 1000 km for 2kg) * 500 km * (1.1 kg / 2 kg) = 0.05775 kgCO2e/unit. Alternatively, using the direct van EF: (0.24934 kgCO2e/km * 500 km) / 100 packages (assumed average load) = 1.2467 kgCO2e/unit. For this report, we will use the more granular package-based estimation.</w:t>
      </w:r>
    </w:p>
    <w:p>
      <w:pPr>
        <w:pStyle w:val="FirstParagraph"/>
      </w:pPr>
      <w:r>
        <w:rPr>
          <w:bCs/>
          <w:b/>
        </w:rPr>
        <w:t xml:space="preserve">Calculation:</w:t>
      </w:r>
      <w:r>
        <w:t xml:space="preserve"> </w:t>
      </w:r>
      <w:r>
        <w:t xml:space="preserve">(0.21 kgCO2e / 1000 km for 2kg) * 500 km * (1.1 kg / 2 kg) = 0.05775 kgCO2e/unit</w:t>
      </w:r>
    </w:p>
    <w:p>
      <w:pPr>
        <w:pStyle w:val="BodyText"/>
      </w:pPr>
      <w:r>
        <w:rPr>
          <w:bCs/>
          <w:b/>
        </w:rPr>
        <w:t xml:space="preserve">Total Scope 3, Category 9 Emissions: 0.06 kgCO2e/unit</w:t>
      </w:r>
    </w:p>
    <w:bookmarkEnd w:id="46"/>
    <w:bookmarkStart w:id="47" w:name="category-11-use-of-sold-products"/>
    <w:p>
      <w:pPr>
        <w:pStyle w:val="Heading5"/>
      </w:pPr>
      <w:r>
        <w:t xml:space="preserve">Category 11: Use of Sold Products</w:t>
      </w:r>
    </w:p>
    <w:p>
      <w:pPr>
        <w:pStyle w:val="FirstParagraph"/>
      </w:pPr>
      <w:r>
        <w:t xml:space="preserve">Emissions from the energy consumed during the product\'s lifespan.</w:t>
      </w:r>
    </w:p>
    <w:p>
      <w:pPr>
        <w:numPr>
          <w:ilvl w:val="0"/>
          <w:numId w:val="1013"/>
        </w:numPr>
        <w:pStyle w:val="Compact"/>
      </w:pPr>
      <w:r>
        <w:t xml:space="preserve">Product Lifespan: 5 years [qoqttszulq]</w:t>
      </w:r>
    </w:p>
    <w:p>
      <w:pPr>
        <w:numPr>
          <w:ilvl w:val="0"/>
          <w:numId w:val="1013"/>
        </w:numPr>
        <w:pStyle w:val="Compact"/>
      </w:pPr>
      <w:r>
        <w:t xml:space="preserve">Energy Consumption in Use: 5 kWh/year [serldpqvzo]</w:t>
      </w:r>
    </w:p>
    <w:p>
      <w:pPr>
        <w:numPr>
          <w:ilvl w:val="0"/>
          <w:numId w:val="1013"/>
        </w:numPr>
        <w:pStyle w:val="Compact"/>
      </w:pPr>
      <w:r>
        <w:t xml:space="preserve">Electricity Grid Mix Emission Factor (Use Phase): 0.5 kgCO2e/kWh</w:t>
      </w:r>
    </w:p>
    <w:p>
      <w:pPr>
        <w:pStyle w:val="FirstParagraph"/>
      </w:pPr>
      <w:r>
        <w:rPr>
          <w:bCs/>
          <w:b/>
        </w:rPr>
        <w:t xml:space="preserve">Calculation:</w:t>
      </w:r>
      <w:r>
        <w:t xml:space="preserve"> </w:t>
      </w:r>
      <w:r>
        <w:t xml:space="preserve">5 kWh/year * 5 years * 0.5 kgCO2e/kWh = 12.50 kgCO2e/unit</w:t>
      </w:r>
    </w:p>
    <w:p>
      <w:pPr>
        <w:pStyle w:val="BodyText"/>
      </w:pPr>
      <w:r>
        <w:rPr>
          <w:bCs/>
          <w:b/>
        </w:rPr>
        <w:t xml:space="preserve">Total Scope 3, Category 11 Emissions: 12.50 kgCO2e/unit</w:t>
      </w:r>
    </w:p>
    <w:bookmarkEnd w:id="47"/>
    <w:bookmarkStart w:id="48" w:name="X9f66eef2700632e081dfe139021cb724ffcd2c5"/>
    <w:p>
      <w:pPr>
        <w:pStyle w:val="Heading5"/>
      </w:pPr>
      <w:r>
        <w:t xml:space="preserve">Category 12: End-of-Life Treatment of Sold Products</w:t>
      </w:r>
    </w:p>
    <w:p>
      <w:pPr>
        <w:pStyle w:val="FirstParagraph"/>
      </w:pPr>
      <w:r>
        <w:t xml:space="preserve">This accounts for the emissions (or avoided emissions/credits) associated with the disposal and recycling of the product at the end of its life.</w:t>
      </w:r>
    </w:p>
    <w:p>
      <w:pPr>
        <w:numPr>
          <w:ilvl w:val="0"/>
          <w:numId w:val="1014"/>
        </w:numPr>
        <w:pStyle w:val="Compact"/>
      </w:pPr>
      <w:r>
        <w:t xml:space="preserve">Product Mass: 1.1 kg/unit</w:t>
      </w:r>
    </w:p>
    <w:p>
      <w:pPr>
        <w:numPr>
          <w:ilvl w:val="0"/>
          <w:numId w:val="1014"/>
        </w:numPr>
        <w:pStyle w:val="Compact"/>
      </w:pPr>
      <w:r>
        <w:t xml:space="preserve">Recyclability Percentage: 70% [rizokvgymm]</w:t>
      </w:r>
    </w:p>
    <w:p>
      <w:pPr>
        <w:numPr>
          <w:ilvl w:val="0"/>
          <w:numId w:val="1014"/>
        </w:numPr>
        <w:pStyle w:val="Compact"/>
      </w:pPr>
      <w:r>
        <w:t xml:space="preserve">Non-recycled Waste: 30%</w:t>
      </w:r>
    </w:p>
    <w:p>
      <w:pPr>
        <w:pStyle w:val="FirstParagraph"/>
      </w:pPr>
      <w:r>
        <w:t xml:space="preserve">For calculation, we assume that recycling 70% of the materials avoids a proportion of the emissions from virgin material production. For simplicity, we assume a 50% emissions reduction credit for recycled material compared to virgin material, while the remaining 30% goes to landfill (with a small landfill emission factor).</w:t>
      </w:r>
    </w:p>
    <w:p>
      <w:pPr>
        <w:pStyle w:val="BodyText"/>
      </w:pPr>
      <w:r>
        <w:rPr>
          <w:bCs/>
          <w:b/>
        </w:rPr>
        <w:t xml:space="preserve">Recycling Credit:</w:t>
      </w:r>
      <w:r>
        <w:t xml:space="preserve"> </w:t>
      </w:r>
      <w:r>
        <w:t xml:space="preserve">- (8.295 kgCO2e/unit * 0.70 * 0.50) = -2.903 kgCO2e/unit (avoided emissions)</w:t>
      </w:r>
    </w:p>
    <w:p>
      <w:pPr>
        <w:pStyle w:val="BodyText"/>
      </w:pPr>
      <w:r>
        <w:rPr>
          <w:bCs/>
          <w:b/>
        </w:rPr>
        <w:t xml:space="preserve">Landfill Emissions:</w:t>
      </w:r>
      <w:r>
        <w:t xml:space="preserve"> </w:t>
      </w:r>
      <w:r>
        <w:t xml:space="preserve">(1.1 kg * 0.30) * 0.05 kgCO2e/kg (illustrative mixed waste landfill EF) = 0.0165 kgCO2e/unit</w:t>
      </w:r>
    </w:p>
    <w:p>
      <w:pPr>
        <w:pStyle w:val="BodyText"/>
      </w:pPr>
      <w:r>
        <w:rPr>
          <w:bCs/>
          <w:b/>
        </w:rPr>
        <w:t xml:space="preserve">Total Scope 3, Category 12 Emissions: -2.89 kgCO2e/unit</w:t>
      </w:r>
    </w:p>
    <w:p>
      <w:r>
        <w:pict>
          <v:rect style="width:0;height:1.5pt" o:hralign="center" o:hrstd="t" o:hr="t"/>
        </w:pict>
      </w:r>
    </w:p>
    <w:bookmarkEnd w:id="48"/>
    <w:bookmarkEnd w:id="49"/>
    <w:bookmarkEnd w:id="50"/>
    <w:bookmarkEnd w:id="51"/>
    <w:bookmarkStart w:id="54" w:name="summary-of-emissions-hotspots"/>
    <w:p>
      <w:pPr>
        <w:pStyle w:val="Heading2"/>
      </w:pPr>
      <w:r>
        <w:t xml:space="preserve">4. Summary of Emissions &amp; Hotspots</w:t>
      </w:r>
    </w:p>
    <w:bookmarkStart w:id="52" w:name="X2daa60be8802cf863efe7cc97012c48e84ebf92"/>
    <w:p>
      <w:pPr>
        <w:pStyle w:val="Heading3"/>
      </w:pPr>
      <w:r>
        <w:t xml:space="preserve">4.1 Total Product Carbon Footprint (PCF) for mxjtqeyhey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Manufacturing Operations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Energy</w:t>
            </w:r>
          </w:p>
        </w:tc>
        <w:tc>
          <w:tcPr/>
          <w:p>
            <w:pPr>
              <w:pStyle w:val="Compact"/>
              <w:jc w:val="left"/>
            </w:pPr>
            <w:r>
              <w:t xml:space="preserve">Electricity for Manufacturing</w:t>
            </w:r>
          </w:p>
        </w:tc>
        <w:tc>
          <w:tcPr/>
          <w:p>
            <w:pPr>
              <w:pStyle w:val="Compact"/>
              <w:jc w:val="left"/>
            </w:pPr>
            <w:r>
              <w:t xml:space="preserve">3.10</w:t>
            </w:r>
          </w:p>
        </w:tc>
      </w:tr>
      <w:tr>
        <w:tc>
          <w:tcPr>
            <w:vMerge w:val="restart"/>
          </w:tcPr>
          <w:p>
            <w:pPr>
              <w:pStyle w:val="Compact"/>
              <w:jc w:val="left"/>
            </w:pPr>
            <w:r>
              <w:t xml:space="preserve">Scope 3</w:t>
            </w:r>
          </w:p>
        </w:tc>
        <w:tc>
          <w:tcPr/>
          <w:p>
            <w:pPr>
              <w:pStyle w:val="Compact"/>
              <w:jc w:val="left"/>
            </w:pPr>
            <w:r>
              <w:t xml:space="preserve">Category 1</w:t>
            </w:r>
          </w:p>
        </w:tc>
        <w:tc>
          <w:tcPr/>
          <w:p>
            <w:pPr>
              <w:pStyle w:val="Compact"/>
              <w:jc w:val="left"/>
            </w:pPr>
            <w:r>
              <w:t xml:space="preserve">Purchased Goods &amp; Services (Materials)</w:t>
            </w:r>
          </w:p>
        </w:tc>
        <w:tc>
          <w:tcPr/>
          <w:p>
            <w:pPr>
              <w:pStyle w:val="Compact"/>
              <w:jc w:val="left"/>
            </w:pPr>
            <w:r>
              <w:t xml:space="preserve">8.30</w:t>
            </w:r>
          </w:p>
        </w:tc>
      </w:tr>
      <w:tr>
        <w:tc>
          <w:tcPr>
            <w:gridSpan w:val="1"/>
            <w:vMerge w:val="continue"/>
          </w:tcPr>
          <w:p>
            <w:pPr/>
          </w:p>
        </w:tc>
        <w:tc>
          <w:tcPr/>
          <w:p>
            <w:pPr>
              <w:pStyle w:val="Compact"/>
              <w:jc w:val="left"/>
            </w:pPr>
            <w:r>
              <w:t xml:space="preserve">Category 3</w:t>
            </w:r>
          </w:p>
        </w:tc>
        <w:tc>
          <w:tcPr/>
          <w:p>
            <w:pPr>
              <w:pStyle w:val="Compact"/>
              <w:jc w:val="left"/>
            </w:pPr>
            <w:r>
              <w:t xml:space="preserve">Fuel- &amp; Energy-Related Activities (T&amp;D Losses)</w:t>
            </w:r>
          </w:p>
        </w:tc>
        <w:tc>
          <w:tcPr/>
          <w:p>
            <w:pPr>
              <w:pStyle w:val="Compact"/>
              <w:jc w:val="left"/>
            </w:pPr>
            <w:r>
              <w:t xml:space="preserve">0.04</w:t>
            </w:r>
          </w:p>
        </w:tc>
      </w:tr>
      <w:tr>
        <w:tc>
          <w:tcPr>
            <w:gridSpan w:val="1"/>
            <w:vMerge w:val="continue"/>
          </w:tcPr>
          <w:p>
            <w:pPr/>
          </w:p>
        </w:tc>
        <w:tc>
          <w:tcPr/>
          <w:p>
            <w:pPr>
              <w:pStyle w:val="Compact"/>
              <w:jc w:val="left"/>
            </w:pPr>
            <w:r>
              <w:t xml:space="preserve">Category 4</w:t>
            </w:r>
          </w:p>
        </w:tc>
        <w:tc>
          <w:tcPr/>
          <w:p>
            <w:pPr>
              <w:pStyle w:val="Compact"/>
              <w:jc w:val="left"/>
            </w:pPr>
            <w:r>
              <w:t xml:space="preserve">Upstream Transportation &amp; Distribution</w:t>
            </w:r>
          </w:p>
        </w:tc>
        <w:tc>
          <w:tcPr/>
          <w:p>
            <w:pPr>
              <w:pStyle w:val="Compact"/>
              <w:jc w:val="left"/>
            </w:pPr>
            <w:r>
              <w:t xml:space="preserve">0.62</w:t>
            </w:r>
          </w:p>
        </w:tc>
      </w:tr>
      <w:tr>
        <w:tc>
          <w:tcPr>
            <w:gridSpan w:val="1"/>
            <w:vMerge w:val="continue"/>
          </w:tcPr>
          <w:p>
            <w:pPr/>
          </w:p>
        </w:tc>
        <w:tc>
          <w:tcPr/>
          <w:p>
            <w:pPr>
              <w:pStyle w:val="Compact"/>
              <w:jc w:val="left"/>
            </w:pPr>
            <w:r>
              <w:t xml:space="preserve">Category 9</w:t>
            </w:r>
          </w:p>
        </w:tc>
        <w:tc>
          <w:tcPr/>
          <w:p>
            <w:pPr>
              <w:pStyle w:val="Compact"/>
              <w:jc w:val="left"/>
            </w:pPr>
            <w:r>
              <w:t xml:space="preserve">Downstream Transportation &amp; Distribution</w:t>
            </w:r>
          </w:p>
        </w:tc>
        <w:tc>
          <w:tcPr/>
          <w:p>
            <w:pPr>
              <w:pStyle w:val="Compact"/>
              <w:jc w:val="left"/>
            </w:pPr>
            <w:r>
              <w:t xml:space="preserve">0.06</w:t>
            </w:r>
          </w:p>
        </w:tc>
      </w:tr>
      <w:tr>
        <w:tc>
          <w:tcPr>
            <w:gridSpan w:val="1"/>
            <w:vMerge w:val="continue"/>
          </w:tcPr>
          <w:p>
            <w:pPr/>
          </w:p>
        </w:tc>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12.50</w:t>
            </w:r>
          </w:p>
        </w:tc>
      </w:tr>
      <w:tr>
        <w:tc>
          <w:tcPr>
            <w:gridSpan w:val="1"/>
            <w:vMerge w:val="continue"/>
          </w:tcPr>
          <w:p>
            <w:pPr/>
          </w:p>
        </w:tc>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-2.89</w:t>
            </w:r>
          </w:p>
        </w:tc>
      </w:tr>
      <w:tr>
        <w:tc>
          <w:tcPr>
            <w:gridSpan w:val="3"/>
          </w:tcPr>
          <w:p>
            <w:pPr>
              <w:pStyle w:val="Compact"/>
              <w:jc w:val="left"/>
            </w:pPr>
            <w:r>
              <w:rPr>
                <w:bCs/>
                <w:b/>
              </w:rPr>
              <w:t xml:space="preserve">TOTAL PRODUCT CARBON FOOTPRINT (kgCO2e/unit)</w:t>
            </w:r>
          </w:p>
        </w:tc>
        <w:tc>
          <w:tcPr/>
          <w:p>
            <w:pPr>
              <w:pStyle w:val="Compact"/>
              <w:jc w:val="left"/>
            </w:pPr>
            <w:r>
              <w:rPr>
                <w:bCs/>
                <w:b/>
              </w:rPr>
              <w:t xml:space="preserve">21.73</w:t>
            </w:r>
          </w:p>
        </w:tc>
      </w:tr>
    </w:tbl>
    <w:bookmarkEnd w:id="52"/>
    <w:bookmarkStart w:id="53" w:name="emissions-hotspots-and-reliability"/>
    <w:p>
      <w:pPr>
        <w:pStyle w:val="Heading3"/>
      </w:pPr>
      <w:r>
        <w:t xml:space="preserve">4.2 Emissions Hotspots and Reliability</w:t>
      </w:r>
    </w:p>
    <w:p>
      <w:pPr>
        <w:pStyle w:val="FirstParagraph"/>
      </w:pPr>
      <w:r>
        <w:t xml:space="preserve">The analysis reveals the following key hotspots in the lifecycle of "mxjtqeyhey":</w:t>
      </w:r>
    </w:p>
    <w:p>
      <w:pPr>
        <w:numPr>
          <w:ilvl w:val="0"/>
          <w:numId w:val="1015"/>
        </w:numPr>
        <w:pStyle w:val="Compact"/>
      </w:pPr>
      <w:r>
        <w:rPr>
          <w:bCs/>
          <w:b/>
        </w:rPr>
        <w:t xml:space="preserve">Use Phase (Scope 3, Category 11):</w:t>
      </w:r>
      <w:r>
        <w:t xml:space="preserve"> </w:t>
      </w:r>
      <w:r>
        <w:t xml:space="preserve">At 12.50 kgCO2e/unit, the energy consumption during the product\'s 5-year lifespan is the most significant contributor to the overall carbon footprint. This highlights the importance of energy-efficient product design and consumer behavior.</w:t>
      </w:r>
    </w:p>
    <w:p>
      <w:pPr>
        <w:numPr>
          <w:ilvl w:val="0"/>
          <w:numId w:val="1015"/>
        </w:numPr>
        <w:pStyle w:val="Compact"/>
      </w:pPr>
      <w:r>
        <w:rPr>
          <w:bCs/>
          <w:b/>
        </w:rPr>
        <w:t xml:space="preserve">Material Acquisition (Scope 3, Category 1):</w:t>
      </w:r>
      <w:r>
        <w:t xml:space="preserve"> </w:t>
      </w:r>
      <w:r>
        <w:t xml:space="preserve">Emissions from purchased goods and services, primarily the raw materials and components, account for 8.30 kgCO2e/unit. Materials like aluminum (for casing), complex PCBs, and lithium-ion batteries are typically energy-intensive to produce.</w:t>
      </w:r>
    </w:p>
    <w:p>
      <w:pPr>
        <w:numPr>
          <w:ilvl w:val="0"/>
          <w:numId w:val="1015"/>
        </w:numPr>
        <w:pStyle w:val="Compact"/>
      </w:pPr>
      <w:r>
        <w:rPr>
          <w:bCs/>
          <w:b/>
        </w:rPr>
        <w:t xml:space="preserve">Manufacturing Energy (Scope 2):</w:t>
      </w:r>
      <w:r>
        <w:t xml:space="preserve"> </w:t>
      </w:r>
      <w:r>
        <w:t xml:space="preserve">Despite 50% renewable energy usage, the remaining grid electricity for manufacturing in China contributes 3.10 kgCO2e/unit. Continued decarbonization of the grid and increased renewable energy adoption by ovfvtziogf are critical.</w:t>
      </w:r>
    </w:p>
    <w:p>
      <w:pPr>
        <w:numPr>
          <w:ilvl w:val="0"/>
          <w:numId w:val="1015"/>
        </w:numPr>
        <w:pStyle w:val="Compact"/>
      </w:pPr>
      <w:r>
        <w:rPr>
          <w:bCs/>
          <w:b/>
        </w:rPr>
        <w:t xml:space="preserve">End-of-Life (Scope 3, Category 12):</w:t>
      </w:r>
      <w:r>
        <w:t xml:space="preserve"> </w:t>
      </w:r>
      <w:r>
        <w:t xml:space="preserve">The implemented take-back and recycling programs provide a significant carbon credit (-2.89 kgCO2e/unit), demonstrating the positive impact of circular economy initiatives. Enhancing recyclability and recovery rates further could increase this benefit.</w:t>
      </w:r>
    </w:p>
    <w:p>
      <w:pPr>
        <w:pStyle w:val="FirstParagraph"/>
      </w:pPr>
      <w:r>
        <w:t xml:space="preserve">The reliability of this report is high for its methodological adherence to the GHG Protocol. However, it relies on illustrative data where specific company or product data was not provided (e.g., placeholder BOM, transport distances, energy consumption values). Using actual, verified primary data for each parameter would further enhance the accuracy and robustness of the results. The 95% Scope 3 coverage target ensures a comprehensive view of value chain impacts, critical for informed decision-making.</w:t>
      </w:r>
    </w:p>
    <w:p>
      <w:r>
        <w:pict>
          <v:rect style="width:0;height:1.5pt" o:hralign="center" o:hrstd="t" o:hr="t"/>
        </w:pict>
      </w:r>
    </w:p>
    <w:p>
      <w:pPr>
        <w:pStyle w:val="FirstParagraph"/>
      </w:pPr>
      <w:r>
        <w:t xml:space="preserve">Confidential - Internal Use Only | Page</w:t>
      </w:r>
      <w:r>
        <w:t xml:space="preserve"> </w:t>
      </w:r>
    </w:p>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mxjtqeyhey</dc:title>
  <dc:creator/>
  <dc:description>High-detail Product Carbon Footprint (PCF) analysis for product mxjtqeyhey by ovfvtziogf, following GHG Protocol standards and 2026 LSR updates.</dc:description>
  <dc:language>en</dc:language>
  <cp:keywords/>
  <dcterms:created xsi:type="dcterms:W3CDTF">2026-05-30T22:58:51Z</dcterms:created>
  <dcterms:modified xsi:type="dcterms:W3CDTF">2026-05-30T22:58:51Z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