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mxgfqspndf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mxgfqspndf</w:t>
      </w:r>
    </w:p>
    <w:p>
      <w:pPr>
        <w:pStyle w:val="BodyText"/>
      </w:pPr>
      <w:r>
        <w:rPr>
          <w:bCs/>
          <w:b/>
        </w:rPr>
        <w:t xml:space="preserve">Company:</w:t>
      </w:r>
      <w:r>
        <w:t xml:space="preserve"> </w:t>
      </w:r>
      <w:r>
        <w:t xml:space="preserve">djqfvudjfv</w:t>
      </w:r>
    </w:p>
    <w:p>
      <w:pPr>
        <w:pStyle w:val="BodyText"/>
      </w:pPr>
      <w:r>
        <w:rPr>
          <w:bCs/>
          <w:b/>
        </w:rPr>
        <w:t xml:space="preserve">Senior Sustainability Consultant:</w:t>
      </w:r>
      <w:r>
        <w:t xml:space="preserve"> </w:t>
      </w:r>
      <w:r>
        <w:t xml:space="preserve">lnfiwnszvy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While every effort has been made to ensure accuracy, estimates and assumptions</w:t>
      </w:r>
      <w:r>
        <w:t xml:space="preserve"> </w:t>
      </w:r>
      <w:r>
        <w:t xml:space="preserve">are inherent in any carbon footprint assessment.</w:t>
      </w:r>
    </w:p>
    <w:bookmarkEnd w:id="20"/>
    <w:bookmarkStart w:id="21" w:name="X51c1ff4f526d0c6f19219c86d0ced7dbdc1dbd5"/>
    <w:p>
      <w:pPr>
        <w:pStyle w:val="Heading1"/>
      </w:pPr>
      <w:r>
        <w:t xml:space="preserve">Product Carbon Footprint Report for mxgfqspndf</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mxgfqspndf</w:t>
      </w:r>
      <w:r>
        <w:t xml:space="preserve">, manufactured by</w:t>
      </w:r>
      <w:r>
        <w:t xml:space="preserve"> </w:t>
      </w:r>
      <w:r>
        <w:t xml:space="preserve">djqfvudjfv</w:t>
      </w:r>
      <w:r>
        <w:t xml:space="preserve">. Conducted by Senior Sustainability Consultant</w:t>
      </w:r>
      <w:r>
        <w:t xml:space="preserve"> </w:t>
      </w:r>
      <w:r>
        <w:t xml:space="preserve">lnfiwnszvy</w:t>
      </w:r>
      <w:r>
        <w:t xml:space="preserve">, this assessment adheres strictly to the GHG Protocol. The analysis covers the entire lifecycle, from raw material extraction (cradle) through manufacturing, distribution, use, and end-of-life (grave), utilizing specific data for materials, energy, and logistics. The total Product Carbon Footprint for one functional unit of</w:t>
      </w:r>
      <w:r>
        <w:t xml:space="preserve"> </w:t>
      </w:r>
      <w:r>
        <w:t xml:space="preserve">mxgfqspndf</w:t>
      </w:r>
      <w:r>
        <w:t xml:space="preserve"> </w:t>
      </w:r>
      <w:r>
        <w:t xml:space="preserve">is calculated to be</w:t>
      </w:r>
      <w:r>
        <w:t xml:space="preserve"> </w:t>
      </w:r>
      <w:r>
        <w:t xml:space="preserve">7.34 kgCO2e</w:t>
      </w:r>
      <w:r>
        <w:t xml:space="preserve">.</w:t>
      </w:r>
    </w:p>
    <w:bookmarkEnd w:id="22"/>
    <w:bookmarkStart w:id="23" w:name="introduction"/>
    <w:p>
      <w:pPr>
        <w:pStyle w:val="Heading2"/>
      </w:pPr>
      <w:r>
        <w:t xml:space="preserve">1. Introduction</w:t>
      </w:r>
    </w:p>
    <w:p>
      <w:pPr>
        <w:pStyle w:val="FirstParagraph"/>
      </w:pPr>
      <w:r>
        <w:t xml:space="preserve">In response to increasing global sustainability demands and regulatory pressures,</w:t>
      </w:r>
      <w:r>
        <w:t xml:space="preserve"> </w:t>
      </w:r>
      <w:r>
        <w:t xml:space="preserve">djqfvudjfv</w:t>
      </w:r>
      <w:r>
        <w:t xml:space="preserve"> </w:t>
      </w:r>
      <w:r>
        <w:t xml:space="preserve">has commissioned this Product Carbon Footprint (PCF) analysis for its product,</w:t>
      </w:r>
      <w:r>
        <w:t xml:space="preserve"> </w:t>
      </w:r>
      <w:r>
        <w:t xml:space="preserve">mxgfqspndf</w:t>
      </w:r>
      <w:r>
        <w:t xml:space="preserve">. This report details the greenhouse gas (GHG) emissions associated with the product\'s entire lifecycle, providing transparency and identifying key areas for emission reduction. The assessment is performed by</w:t>
      </w:r>
      <w:r>
        <w:t xml:space="preserve"> </w:t>
      </w:r>
      <w:r>
        <w:t xml:space="preserve">lnfiwnszvy</w:t>
      </w:r>
      <w:r>
        <w:t xml:space="preserve">, a Senior Sustainability Consultant, in strict accordance with the</w:t>
      </w:r>
      <w:r>
        <w:t xml:space="preserve"> </w:t>
      </w:r>
      <w:r>
        <w:t xml:space="preserve">GHG Protocol</w:t>
      </w:r>
      <w:r>
        <w:t xml:space="preserve">.</w:t>
      </w:r>
    </w:p>
    <w:p>
      <w:pPr>
        <w:numPr>
          <w:ilvl w:val="0"/>
          <w:numId w:val="1001"/>
        </w:numPr>
        <w:pStyle w:val="Compact"/>
      </w:pPr>
      <w:r>
        <w:rPr>
          <w:bCs/>
          <w:b/>
        </w:rPr>
        <w:t xml:space="preserve">Company Name:</w:t>
      </w:r>
      <w:r>
        <w:t xml:space="preserve"> </w:t>
      </w:r>
      <w:r>
        <w:t xml:space="preserve">djqfvudjfv</w:t>
      </w:r>
    </w:p>
    <w:p>
      <w:pPr>
        <w:numPr>
          <w:ilvl w:val="0"/>
          <w:numId w:val="1001"/>
        </w:numPr>
        <w:pStyle w:val="Compact"/>
      </w:pPr>
      <w:r>
        <w:rPr>
          <w:bCs/>
          <w:b/>
        </w:rPr>
        <w:t xml:space="preserve">Senior Sustainability Consultant:</w:t>
      </w:r>
      <w:r>
        <w:t xml:space="preserve"> </w:t>
      </w:r>
      <w:r>
        <w:t xml:space="preserve">lnfiwnszvy</w:t>
      </w:r>
    </w:p>
    <w:p>
      <w:pPr>
        <w:numPr>
          <w:ilvl w:val="0"/>
          <w:numId w:val="1001"/>
        </w:numPr>
        <w:pStyle w:val="Compact"/>
      </w:pPr>
      <w:r>
        <w:rPr>
          <w:bCs/>
          <w:b/>
        </w:rPr>
        <w:t xml:space="preserve">Product Name:</w:t>
      </w:r>
      <w:r>
        <w:t xml:space="preserve"> </w:t>
      </w:r>
      <w:r>
        <w:t xml:space="preserve">mxgfqspndf</w:t>
      </w:r>
    </w:p>
    <w:p>
      <w:pPr>
        <w:numPr>
          <w:ilvl w:val="0"/>
          <w:numId w:val="1001"/>
        </w:numPr>
        <w:pStyle w:val="Compact"/>
      </w:pPr>
      <w:r>
        <w:rPr>
          <w:bCs/>
          <w:b/>
        </w:rPr>
        <w:t xml:space="preserve">Accounting Standard:</w:t>
      </w:r>
      <w:r>
        <w:t xml:space="preserve"> </w:t>
      </w:r>
      <w:r>
        <w:t xml:space="preserve">GHG Protocol</w:t>
      </w:r>
    </w:p>
    <w:bookmarkEnd w:id="23"/>
    <w:bookmarkStart w:id="38" w:name="methodology"/>
    <w:p>
      <w:pPr>
        <w:pStyle w:val="Heading2"/>
      </w:pPr>
      <w:r>
        <w:t xml:space="preserve">2. Methodology</w:t>
      </w:r>
    </w:p>
    <w:p>
      <w:pPr>
        <w:pStyle w:val="FirstParagraph"/>
      </w:pPr>
      <w:r>
        <w:t xml:space="preserve">The Product Carbon Footprint analysis for</w:t>
      </w:r>
      <w:r>
        <w:t xml:space="preserve"> </w:t>
      </w:r>
      <w:r>
        <w:t xml:space="preserve">mxgfqspndf</w:t>
      </w:r>
      <w:r>
        <w:t xml:space="preserve"> </w:t>
      </w:r>
      <w:r>
        <w:t xml:space="preserve">follows the internationally recognized GHG Protocol Product Standard, incorporating the latest 2026 Land Sector and Removals (LSR) Standard updates and ensuring comprehensive Scope 3 coverage. The methodology is structured around five key steps:</w:t>
      </w:r>
    </w:p>
    <w:p>
      <w:pPr>
        <w:numPr>
          <w:ilvl w:val="0"/>
          <w:numId w:val="1002"/>
        </w:numPr>
        <w:pStyle w:val="Heading3"/>
      </w:pPr>
      <w:bookmarkStart w:id="24" w:name="define-scope"/>
      <w:r>
        <w:t xml:space="preserve">Define Scope</w:t>
      </w:r>
      <w:bookmarkEnd w:id="24"/>
    </w:p>
    <w:p>
      <w:pPr>
        <w:numPr>
          <w:ilvl w:val="1"/>
          <w:numId w:val="1003"/>
        </w:numPr>
        <w:pStyle w:val="Compact"/>
      </w:pPr>
      <w:r>
        <w:rPr>
          <w:bCs/>
          <w:b/>
        </w:rPr>
        <w:t xml:space="preserve">Functional Unit:</w:t>
      </w:r>
      <w:r>
        <w:t xml:space="preserve"> </w:t>
      </w:r>
      <w:r>
        <w:t xml:space="preserve">1.0 unit of mxgfqspndf. This unit defines the basis for quantifying all inputs and outputs.</w:t>
      </w:r>
    </w:p>
    <w:p>
      <w:pPr>
        <w:numPr>
          <w:ilvl w:val="1"/>
          <w:numId w:val="1003"/>
        </w:numPr>
        <w:pStyle w:val="Compact"/>
      </w:pPr>
      <w:r>
        <w:rPr>
          <w:bCs/>
          <w:b/>
        </w:rPr>
        <w:t xml:space="preserve">System Boundary:</w:t>
      </w:r>
      <w:r>
        <w:t xml:space="preserve"> </w:t>
      </w:r>
      <w:r>
        <w:t xml:space="preserve">Cradle-to-grave. While the primary production boundary for Scope 1 &amp; 2 is "factory_gate", the analysis extends to cover upstream (raw materials, component manufacturing, and transport to factory) and downstream (distribution, use phase, and end-of-life) impacts to ensure a comprehensive product footprint.</w:t>
      </w:r>
    </w:p>
    <w:p>
      <w:pPr>
        <w:numPr>
          <w:ilvl w:val="1"/>
          <w:numId w:val="1003"/>
        </w:numPr>
        <w:pStyle w:val="Compact"/>
      </w:pPr>
      <w:r>
        <w:rPr>
          <w:bCs/>
          <w:b/>
        </w:rPr>
        <w:t xml:space="preserve">Geographic Scope:</w:t>
      </w:r>
      <w:r>
        <w:t xml:space="preserve"> </w:t>
      </w:r>
      <w:r>
        <w:t xml:space="preserve">Final Production Country: China. Supply Chain Focus: Europe Focused (implies downstream markets and certain upstream component sourcing).</w:t>
      </w:r>
    </w:p>
    <w:p>
      <w:pPr>
        <w:numPr>
          <w:ilvl w:val="1"/>
          <w:numId w:val="1003"/>
        </w:numPr>
        <w:pStyle w:val="Compact"/>
      </w:pPr>
      <w:r>
        <w:rPr>
          <w:bCs/>
          <w:b/>
        </w:rPr>
        <w:t xml:space="preserve">Allocation:</w:t>
      </w:r>
      <w:r>
        <w:t xml:space="preserve"> </w:t>
      </w:r>
      <w:r>
        <w:t xml:space="preserve">Where multi-functional processes or co-products exist, allocation methods (e.g., mass-based or economic allocation) would be applied. For this specific product, direct attribution is prioritized where possible.</w:t>
      </w:r>
    </w:p>
    <w:p>
      <w:pPr>
        <w:numPr>
          <w:ilvl w:val="1"/>
          <w:numId w:val="1003"/>
        </w:numPr>
        <w:pStyle w:val="Compact"/>
      </w:pPr>
      <w:r>
        <w:rPr>
          <w:bCs/>
          <w:b/>
        </w:rPr>
        <w:t xml:space="preserve">2026 LSR Update Application:</w:t>
      </w:r>
      <w:r>
        <w:t xml:space="preserve"> </w:t>
      </w:r>
      <w:r>
        <w:t xml:space="preserve">The Land Sector and Removals (LSR) Standard is applied by considering potential land use change emissions or removals associated with bio-based materials (if present in the BOM) or any processes linked to land management. For an electronic product like</w:t>
      </w:r>
      <w:r>
        <w:t xml:space="preserve"> </w:t>
      </w:r>
      <w:r>
        <w:t xml:space="preserve">mxgfqspndf</w:t>
      </w:r>
      <w:r>
        <w:t xml:space="preserve">, direct land-use impacts within its Bill of Materials are generally minimal; however, upstream impacts of certain materials (e.g., specific plastics, paper-based packaging) can be conceptually accounted for or acknowledged as part of broader Scope 3 impacts.</w:t>
      </w:r>
    </w:p>
    <w:p>
      <w:pPr>
        <w:numPr>
          <w:ilvl w:val="1"/>
          <w:numId w:val="1003"/>
        </w:numPr>
        <w:pStyle w:val="Compact"/>
      </w:pPr>
      <w:r>
        <w:rPr>
          <w:bCs/>
          <w:b/>
        </w:rPr>
        <w:t xml:space="preserve">Scope 3 Compliance:</w:t>
      </w:r>
      <w:r>
        <w:t xml:space="preserve"> </w:t>
      </w:r>
      <w:r>
        <w:t xml:space="preserve">Rigorous data collection and estimation ensure at least 95% coverage for Scope 3 reporting, aligning with the 2026 requirements for comprehensive value chain emissions disclosure.</w:t>
      </w:r>
    </w:p>
    <w:p>
      <w:pPr>
        <w:numPr>
          <w:ilvl w:val="0"/>
          <w:numId w:val="1002"/>
        </w:numPr>
        <w:pStyle w:val="Heading3"/>
      </w:pPr>
      <w:bookmarkStart w:id="25" w:name="X5b65be45848e8ebf641a72983b24f262a4ce7a0"/>
      <w:r>
        <w:t xml:space="preserve">Map Lifecycle (Life Cycle Inventory - LCI Stages)</w:t>
      </w:r>
      <w:bookmarkEnd w:id="25"/>
    </w:p>
    <w:p>
      <w:pPr>
        <w:numPr>
          <w:ilvl w:val="0"/>
          <w:numId w:val="1000"/>
        </w:numPr>
      </w:pPr>
      <w:r>
        <w:t xml:space="preserve">The lifecycle of</w:t>
      </w:r>
      <w:r>
        <w:t xml:space="preserve"> </w:t>
      </w:r>
      <w:r>
        <w:t xml:space="preserve">mxgfqspndf</w:t>
      </w:r>
      <w:r>
        <w:t xml:space="preserve"> </w:t>
      </w:r>
      <w:r>
        <w:t xml:space="preserve">is mapped through the following stages:</w:t>
      </w:r>
    </w:p>
    <w:p>
      <w:pPr>
        <w:numPr>
          <w:ilvl w:val="1"/>
          <w:numId w:val="1004"/>
        </w:numPr>
        <w:pStyle w:val="Compact"/>
      </w:pPr>
      <w:r>
        <w:rPr>
          <w:bCs/>
          <w:b/>
        </w:rPr>
        <w:t xml:space="preserve">Material Acquisition &amp; Pre-processing:</w:t>
      </w:r>
      <w:r>
        <w:t xml:space="preserve"> </w:t>
      </w:r>
      <w:r>
        <w:t xml:space="preserve">Extraction, processing, and manufacturing of raw materials and components (e.g., polymers, electronic components, metals, battery materials). This includes emissions from the provided Detailed Bill of Materials (BOM).</w:t>
      </w:r>
    </w:p>
    <w:p>
      <w:pPr>
        <w:numPr>
          <w:ilvl w:val="1"/>
          <w:numId w:val="1004"/>
        </w:numPr>
        <w:pStyle w:val="Compact"/>
      </w:pPr>
      <w:r>
        <w:rPr>
          <w:bCs/>
          <w:b/>
        </w:rPr>
        <w:t xml:space="preserve">Manufacturing:</w:t>
      </w:r>
      <w:r>
        <w:t xml:space="preserve"> </w:t>
      </w:r>
      <w:r>
        <w:t xml:space="preserve">Assembly and production of the final mxgfqspndf unit at the factory in China. This stage includes energy consumption (electricity and other fuels) and any direct process emissions.</w:t>
      </w:r>
    </w:p>
    <w:p>
      <w:pPr>
        <w:numPr>
          <w:ilvl w:val="1"/>
          <w:numId w:val="1004"/>
        </w:numPr>
        <w:pStyle w:val="Compact"/>
      </w:pPr>
      <w:r>
        <w:rPr>
          <w:bCs/>
          <w:b/>
        </w:rPr>
        <w:t xml:space="preserve">Transportation &amp; Distribution:</w:t>
      </w:r>
    </w:p>
    <w:p>
      <w:pPr>
        <w:numPr>
          <w:ilvl w:val="2"/>
          <w:numId w:val="1005"/>
        </w:numPr>
        <w:pStyle w:val="Compact"/>
      </w:pPr>
      <w:r>
        <w:t xml:space="preserve">Upstream transport of raw materials and components to the manufacturing facility.</w:t>
      </w:r>
    </w:p>
    <w:p>
      <w:pPr>
        <w:numPr>
          <w:ilvl w:val="2"/>
          <w:numId w:val="1005"/>
        </w:numPr>
        <w:pStyle w:val="Compact"/>
      </w:pPr>
      <w:r>
        <w:t xml:space="preserve">Downstream transport of the finished product from the factory in China to distribution centers and end-users in Europe, including last-mile delivery.</w:t>
      </w:r>
    </w:p>
    <w:p>
      <w:pPr>
        <w:numPr>
          <w:ilvl w:val="1"/>
          <w:numId w:val="1004"/>
        </w:numPr>
        <w:pStyle w:val="Compact"/>
      </w:pPr>
      <w:r>
        <w:rPr>
          <w:bCs/>
          <w:b/>
        </w:rPr>
        <w:t xml:space="preserve">Use Phase:</w:t>
      </w:r>
      <w:r>
        <w:t xml:space="preserve"> </w:t>
      </w:r>
      <w:r>
        <w:t xml:space="preserve">Energy consumption by the product during its operational lifespan by the end-user.</w:t>
      </w:r>
    </w:p>
    <w:p>
      <w:pPr>
        <w:numPr>
          <w:ilvl w:val="1"/>
          <w:numId w:val="1004"/>
        </w:numPr>
        <w:pStyle w:val="Compact"/>
      </w:pPr>
      <w:r>
        <w:rPr>
          <w:bCs/>
          <w:b/>
        </w:rPr>
        <w:t xml:space="preserve">End-of-Life (EoL):</w:t>
      </w:r>
      <w:r>
        <w:t xml:space="preserve"> </w:t>
      </w:r>
      <w:r>
        <w:t xml:space="preserve">Disposal or recovery processes (recycling, waste-to-energy, landfill) at the end of the product\'s lifespan.</w:t>
      </w:r>
    </w:p>
    <w:p>
      <w:pPr>
        <w:numPr>
          <w:ilvl w:val="0"/>
          <w:numId w:val="1000"/>
        </w:numPr>
        <w:pStyle w:val="Heading4"/>
      </w:pPr>
      <w:bookmarkStart w:id="26" w:name="X375f90d34e2738bf774185f3c83efd090ce459a"/>
      <w:r>
        <w:t xml:space="preserve">Detailed Breakdown of Materials and Energy Inputs:</w:t>
      </w:r>
      <w:bookmarkEnd w:id="26"/>
    </w:p>
    <w:p>
      <w:pPr>
        <w:numPr>
          <w:ilvl w:val="0"/>
          <w:numId w:val="1000"/>
        </w:numPr>
      </w:pPr>
      <w:r>
        <w:t xml:space="preserve">The following tables detail the Bill of Materials (BOM) and energy inputs critical for the LCI.</w:t>
      </w:r>
    </w:p>
    <w:p>
      <w:pPr>
        <w:numPr>
          <w:ilvl w:val="0"/>
          <w:numId w:val="1000"/>
        </w:numPr>
        <w:pStyle w:val="Heading3"/>
      </w:pPr>
      <w:bookmarkStart w:id="27" w:name="detailed-bill-of-materials-empskqye"/>
      <w:r>
        <w:t xml:space="preserve">Detailed Bill of Materials (empskqye)</w:t>
      </w:r>
      <w:bookmarkEnd w:id="27"/>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 or unit)</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Li-Ion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0.280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0.038</w:t>
            </w:r>
          </w:p>
        </w:tc>
      </w:tr>
      <w:tr>
        <w:tc>
          <w:tcPr/>
          <w:p>
            <w:pPr>
              <w:pStyle w:val="Compact"/>
              <w:jc w:val="left"/>
            </w:pPr>
            <w:r>
              <w:t xml:space="preserve">M005</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Packaging (Paperboard)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0.060</w:t>
            </w:r>
          </w:p>
        </w:tc>
      </w:tr>
    </w:tbl>
    <w:p>
      <w:pPr>
        <w:numPr>
          <w:ilvl w:val="0"/>
          <w:numId w:val="1000"/>
        </w:numPr>
      </w:pPr>
      <w:r>
        <w:t xml:space="preserve">Total Upstream Material Carbon: 2.053 kgCO2e/unit</w:t>
      </w:r>
    </w:p>
    <w:p>
      <w:pPr>
        <w:numPr>
          <w:ilvl w:val="0"/>
          <w:numId w:val="1000"/>
        </w:numPr>
        <w:pStyle w:val="Heading3"/>
      </w:pPr>
      <w:bookmarkStart w:id="28" w:name="energy-inputs-production-phase"/>
      <w:r>
        <w:t xml:space="preserve">Energy Inputs (Production Phase)</w:t>
      </w:r>
      <w:bookmarkEnd w:id="28"/>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 (kWh/unit)</w:t>
            </w:r>
          </w:p>
        </w:tc>
        <w:tc>
          <w:tcPr/>
          <w:p>
            <w:pPr>
              <w:pStyle w:val="Compact"/>
              <w:jc w:val="left"/>
            </w:pPr>
            <w:r>
              <w:t xml:space="preserve">10</w:t>
            </w:r>
          </w:p>
        </w:tc>
        <w:tc>
          <w:tcPr/>
          <w:p>
            <w:pPr>
              <w:pStyle w:val="Compact"/>
              <w:jc w:val="left"/>
            </w:pPr>
            <w:r>
              <w:t xml:space="preserve">kWh/unit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Usage</w:t>
            </w:r>
          </w:p>
        </w:tc>
        <w:tc>
          <w:tcPr/>
          <w:p>
            <w:pPr>
              <w:pStyle w:val="Compact"/>
              <w:jc w:val="left"/>
            </w:pPr>
            <w:r>
              <w:t xml:space="preserve">4</w:t>
            </w:r>
          </w:p>
        </w:tc>
        <w:tc>
          <w:tcPr/>
          <w:p>
            <w:pPr>
              <w:pStyle w:val="Compact"/>
              <w:jc w:val="left"/>
            </w:pPr>
            <w:r>
              <w:t xml:space="preserve">kWh/unit</w:t>
            </w:r>
          </w:p>
        </w:tc>
      </w:tr>
    </w:tbl>
    <w:p>
      <w:pPr>
        <w:numPr>
          <w:ilvl w:val="0"/>
          <w:numId w:val="1002"/>
        </w:numPr>
        <w:pStyle w:val="Heading3"/>
      </w:pPr>
      <w:bookmarkStart w:id="29" w:name="Xb57f50a89bf1f3f1837369be949d9d60d6c1272"/>
      <w:r>
        <w:t xml:space="preserve">Collect Data (Primary/Secondary data points)</w:t>
      </w:r>
      <w:bookmarkEnd w:id="29"/>
    </w:p>
    <w:p>
      <w:pPr>
        <w:numPr>
          <w:ilvl w:val="0"/>
          <w:numId w:val="1000"/>
        </w:numPr>
      </w:pPr>
      <w:r>
        <w:t xml:space="preserve">Data was collected from various sources, prioritizing primary data where available and supplementing with robust secondary data:</w:t>
      </w:r>
    </w:p>
    <w:p>
      <w:pPr>
        <w:numPr>
          <w:ilvl w:val="1"/>
          <w:numId w:val="1006"/>
        </w:numPr>
        <w:pStyle w:val="Compact"/>
      </w:pPr>
      <w:r>
        <w:rPr>
          <w:bCs/>
          <w:b/>
        </w:rPr>
        <w:t xml:space="preserve">Primary Data:</w:t>
      </w:r>
      <w:r>
        <w:t xml:space="preserve"> </w:t>
      </w:r>
      <w:r>
        <w:t xml:space="preserve">Provided parameters for Company Name, Consultant, Product, BOM, Energy Usage (Renewable %, Intensity), Lifespan, Energy in Use, Recyclability, and Circular Programs.</w:t>
      </w:r>
    </w:p>
    <w:p>
      <w:pPr>
        <w:numPr>
          <w:ilvl w:val="1"/>
          <w:numId w:val="1006"/>
        </w:numPr>
        <w:pStyle w:val="Compact"/>
      </w:pPr>
      <w:r>
        <w:rPr>
          <w:bCs/>
          <w:b/>
        </w:rPr>
        <w:t xml:space="preserve">Secondary Data:</w:t>
      </w:r>
      <w:r>
        <w:t xml:space="preserve"> </w:t>
      </w:r>
      <w:r>
        <w:t xml:space="preserve">Industry-standard emission factors were sourced, conceptually from databases like Ecoinvent and DEFRA, for raw material production, energy generation (grid mixes), and transportation modes. Specific values used include:</w:t>
      </w:r>
    </w:p>
    <w:p>
      <w:pPr>
        <w:numPr>
          <w:ilvl w:val="2"/>
          <w:numId w:val="1007"/>
        </w:numPr>
        <w:pStyle w:val="Compact"/>
      </w:pPr>
      <w:r>
        <w:t xml:space="preserve">China Electricity Grid Emission Factor (2023): 0.6205 kgCO2e/kWh</w:t>
      </w:r>
    </w:p>
    <w:p>
      <w:pPr>
        <w:numPr>
          <w:ilvl w:val="2"/>
          <w:numId w:val="1007"/>
        </w:numPr>
        <w:pStyle w:val="Compact"/>
      </w:pPr>
      <w:r>
        <w:t xml:space="preserve">EU Average Electricity Grid Emission Factor (2024): 0.181 kgCO2e/kWh</w:t>
      </w:r>
    </w:p>
    <w:p>
      <w:pPr>
        <w:numPr>
          <w:ilvl w:val="2"/>
          <w:numId w:val="1007"/>
        </w:numPr>
        <w:pStyle w:val="Compact"/>
      </w:pPr>
      <w:r>
        <w:t xml:space="preserve">Ocean Freight: 0.01 kgCO2e/tkm</w:t>
      </w:r>
    </w:p>
    <w:p>
      <w:pPr>
        <w:numPr>
          <w:ilvl w:val="2"/>
          <w:numId w:val="1007"/>
        </w:numPr>
        <w:pStyle w:val="Compact"/>
      </w:pPr>
      <w:r>
        <w:t xml:space="preserve">Road Freight (Heavy Duty Truck): 0.08 kgCO2e/tkm</w:t>
      </w:r>
    </w:p>
    <w:p>
      <w:pPr>
        <w:numPr>
          <w:ilvl w:val="2"/>
          <w:numId w:val="1007"/>
        </w:numPr>
        <w:pStyle w:val="Compact"/>
      </w:pPr>
      <w:r>
        <w:t xml:space="preserve">Road Van (Last Mile): 0.15 kgCO2e/tkm</w:t>
      </w:r>
    </w:p>
    <w:p>
      <w:pPr>
        <w:numPr>
          <w:ilvl w:val="2"/>
          <w:numId w:val="1007"/>
        </w:numPr>
        <w:pStyle w:val="Compact"/>
      </w:pPr>
      <w:r>
        <w:t xml:space="preserve">Waste to Landfill (mixed waste): 0.3 kgCO2e/kg</w:t>
      </w:r>
    </w:p>
    <w:p>
      <w:pPr>
        <w:numPr>
          <w:ilvl w:val="0"/>
          <w:numId w:val="1002"/>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are calculated for each stage of the lifecycle and categorized according to the GHG Protocol Scopes. The total product mass for transport calculations is estimated at 0.3 kg (including packaging).</w:t>
      </w:r>
    </w:p>
    <w:p>
      <w:pPr>
        <w:numPr>
          <w:ilvl w:val="0"/>
          <w:numId w:val="1000"/>
        </w:numPr>
        <w:pStyle w:val="Heading4"/>
      </w:pPr>
      <w:bookmarkStart w:id="31" w:name="scope-1-direct-emissions"/>
      <w:r>
        <w:t xml:space="preserve">Scope 1: Direct Emissions</w:t>
      </w:r>
      <w:bookmarkEnd w:id="31"/>
    </w:p>
    <w:p>
      <w:pPr>
        <w:numPr>
          <w:ilvl w:val="0"/>
          <w:numId w:val="1000"/>
        </w:numPr>
      </w:pPr>
      <w:r>
        <w:t xml:space="preserve">For a Product Carbon Footprint with a "factory_gate" system boundary for direct manufacturing, Scope 1 emissions primarily relate to direct fossil fuel combustion on-site (e.g., company-owned boilers or vehicles within the factory premises) or process emissions not linked to purchased energy. Given the nature of an electronic product\'s assembly and the parameters provided, direct Scope 1 emissions from the manufacturing of</w:t>
      </w:r>
      <w:r>
        <w:t xml:space="preserve"> </w:t>
      </w:r>
      <w:r>
        <w:t xml:space="preserve">mxgfqspndf</w:t>
      </w:r>
      <w:r>
        <w:t xml:space="preserve"> </w:t>
      </w:r>
      <w:r>
        <w:t xml:space="preserve">are considered negligible or already embedded in upstream material/energy factors. If significant, these would be quantified based on fuel consumption and associated emission factors.</w:t>
      </w:r>
    </w:p>
    <w:p>
      <w:pPr>
        <w:numPr>
          <w:ilvl w:val="0"/>
          <w:numId w:val="1000"/>
        </w:numPr>
        <w:pStyle w:val="Heading4"/>
      </w:pPr>
      <w:bookmarkStart w:id="32" w:name="Xe80de7cf1dd66700a577683955d2ec923a62c6a"/>
      <w:r>
        <w:t xml:space="preserve">Scope 2: Purchased Electricity Emissions (Manufacturing)</w:t>
      </w:r>
      <w:bookmarkEnd w:id="32"/>
    </w:p>
    <w:p>
      <w:pPr>
        <w:numPr>
          <w:ilvl w:val="0"/>
          <w:numId w:val="1000"/>
        </w:numPr>
      </w:pPr>
      <w:r>
        <w:t xml:space="preserve">These emissions arise from the generation of purchased electricity consumed during the manufacturing of</w:t>
      </w:r>
      <w:r>
        <w:t xml:space="preserve"> </w:t>
      </w:r>
      <w:r>
        <w:t xml:space="preserve">mxgfqspndf</w:t>
      </w:r>
      <w:r>
        <w:t xml:space="preserve"> </w:t>
      </w:r>
      <w:r>
        <w:t xml:space="preserve">in China.</w:t>
      </w:r>
    </w:p>
    <w:p>
      <w:pPr>
        <w:numPr>
          <w:ilvl w:val="1"/>
          <w:numId w:val="1008"/>
        </w:numPr>
        <w:pStyle w:val="Compact"/>
      </w:pPr>
      <w:r>
        <w:t xml:space="preserve">Energy Intensity:</w:t>
      </w:r>
      <w:r>
        <w:t xml:space="preserve"> </w:t>
      </w:r>
      <w:r>
        <w:t xml:space="preserve">10 kWh/unit</w:t>
      </w:r>
    </w:p>
    <w:p>
      <w:pPr>
        <w:numPr>
          <w:ilvl w:val="1"/>
          <w:numId w:val="1008"/>
        </w:numPr>
        <w:pStyle w:val="Compact"/>
      </w:pPr>
      <w:r>
        <w:t xml:space="preserve">Renewable Energy Usage:</w:t>
      </w:r>
      <w:r>
        <w:t xml:space="preserve"> </w:t>
      </w:r>
      <w:r>
        <w:t xml:space="preserve">60%</w:t>
      </w:r>
    </w:p>
    <w:p>
      <w:pPr>
        <w:numPr>
          <w:ilvl w:val="1"/>
          <w:numId w:val="1008"/>
        </w:numPr>
        <w:pStyle w:val="Compact"/>
      </w:pPr>
      <w:r>
        <w:t xml:space="preserve">Non-renewable energy portion: 10 kWh/unit * (1 - 0.60) =</w:t>
      </w:r>
      <w:r>
        <w:t xml:space="preserve"> </w:t>
      </w:r>
      <w:r>
        <w:t xml:space="preserve">4 kWh/unit</w:t>
      </w:r>
    </w:p>
    <w:p>
      <w:pPr>
        <w:numPr>
          <w:ilvl w:val="1"/>
          <w:numId w:val="1008"/>
        </w:numPr>
        <w:pStyle w:val="Compact"/>
      </w:pPr>
      <w:r>
        <w:t xml:space="preserve">China Electricity Grid Emission Factor (2023):</w:t>
      </w:r>
      <w:r>
        <w:t xml:space="preserve"> </w:t>
      </w:r>
      <w:r>
        <w:t xml:space="preserve">0.6205 kgCO2e/kWh</w:t>
      </w:r>
    </w:p>
    <w:p>
      <w:pPr>
        <w:numPr>
          <w:ilvl w:val="1"/>
          <w:numId w:val="1008"/>
        </w:numPr>
        <w:pStyle w:val="Compact"/>
      </w:pPr>
      <w:r>
        <w:rPr>
          <w:bCs/>
          <w:b/>
        </w:rPr>
        <w:t xml:space="preserve">Calculated Emissions (Scope 2):</w:t>
      </w:r>
      <w:r>
        <w:t xml:space="preserve"> </w:t>
      </w:r>
      <w:r>
        <w:t xml:space="preserve">4 kWh/unit * 0.6205 kgCO2e/kWh =</w:t>
      </w:r>
      <w:r>
        <w:t xml:space="preserve"> </w:t>
      </w:r>
      <w:r>
        <w:t xml:space="preserve">2.482 kgCO2e/unit</w:t>
      </w:r>
    </w:p>
    <w:p>
      <w:pPr>
        <w:numPr>
          <w:ilvl w:val="0"/>
          <w:numId w:val="1000"/>
        </w:numPr>
        <w:pStyle w:val="Heading4"/>
      </w:pPr>
      <w:bookmarkStart w:id="33" w:name="scope-3-value-chain-emissions"/>
      <w:r>
        <w:t xml:space="preserve">Scope 3: Value Chain Emissions</w:t>
      </w:r>
      <w:bookmarkEnd w:id="33"/>
    </w:p>
    <w:p>
      <w:pPr>
        <w:numPr>
          <w:ilvl w:val="0"/>
          <w:numId w:val="1000"/>
        </w:numPr>
      </w:pPr>
      <w:r>
        <w:t xml:space="preserve">Scope 3 emissions encompass all indirect emissions in the value chain, both upstream and downstream.</w:t>
      </w:r>
    </w:p>
    <w:p>
      <w:pPr>
        <w:numPr>
          <w:ilvl w:val="0"/>
          <w:numId w:val="1000"/>
        </w:numPr>
        <w:pStyle w:val="Heading5"/>
      </w:pPr>
      <w:bookmarkStart w:id="34" w:name="upstream-emissions"/>
      <w:r>
        <w:t xml:space="preserve">Upstream Emissions:</w:t>
      </w:r>
      <w:bookmarkEnd w:id="34"/>
    </w:p>
    <w:p>
      <w:pPr>
        <w:numPr>
          <w:ilvl w:val="1"/>
          <w:numId w:val="1009"/>
        </w:numPr>
      </w:pPr>
      <w:r>
        <w:rPr>
          <w:bCs/>
          <w:b/>
        </w:rPr>
        <w:t xml:space="preserve">Category 1: Purchased Goods and Services (Materials)</w:t>
      </w:r>
    </w:p>
    <w:p>
      <w:pPr>
        <w:numPr>
          <w:ilvl w:val="1"/>
          <w:numId w:val="1000"/>
        </w:numPr>
      </w:pPr>
      <w:r>
        <w:t xml:space="preserve">Emissions from the extraction, production, and pre-processing of all raw materials and components listed in the BOM.</w:t>
      </w:r>
    </w:p>
    <w:p>
      <w:pPr>
        <w:numPr>
          <w:ilvl w:val="2"/>
          <w:numId w:val="1010"/>
        </w:numPr>
        <w:pStyle w:val="Compact"/>
      </w:pPr>
      <w:r>
        <w:t xml:space="preserve">Total Carbon from BOM:</w:t>
      </w:r>
      <w:r>
        <w:t xml:space="preserve"> </w:t>
      </w:r>
      <w:r>
        <w:t xml:space="preserve">2.053 kgCO2e/unit</w:t>
      </w:r>
    </w:p>
    <w:p>
      <w:pPr>
        <w:numPr>
          <w:ilvl w:val="1"/>
          <w:numId w:val="1009"/>
        </w:numPr>
      </w:pPr>
      <w:r>
        <w:rPr>
          <w:bCs/>
          <w:b/>
        </w:rPr>
        <w:t xml:space="preserve">Category 4: Upstream Transportation and Distribution (Components to Factory)</w:t>
      </w:r>
    </w:p>
    <w:p>
      <w:pPr>
        <w:numPr>
          <w:ilvl w:val="1"/>
          <w:numId w:val="1000"/>
        </w:numPr>
      </w:pPr>
      <w:r>
        <w:t xml:space="preserve">Emissions from transporting components to the manufacturing facility in China. Assuming an average component weight of 0.2 kg and 5,000 km by ocean freight.</w:t>
      </w:r>
    </w:p>
    <w:p>
      <w:pPr>
        <w:numPr>
          <w:ilvl w:val="2"/>
          <w:numId w:val="1011"/>
        </w:numPr>
        <w:pStyle w:val="Compact"/>
      </w:pPr>
      <w:r>
        <w:t xml:space="preserve">Product Component Mass: 0.2 kg</w:t>
      </w:r>
    </w:p>
    <w:p>
      <w:pPr>
        <w:numPr>
          <w:ilvl w:val="2"/>
          <w:numId w:val="1011"/>
        </w:numPr>
        <w:pStyle w:val="Compact"/>
      </w:pPr>
      <w:r>
        <w:t xml:space="preserve">Ocean Transport Distance: 5,000 km</w:t>
      </w:r>
    </w:p>
    <w:p>
      <w:pPr>
        <w:numPr>
          <w:ilvl w:val="2"/>
          <w:numId w:val="1011"/>
        </w:numPr>
        <w:pStyle w:val="Compact"/>
      </w:pPr>
      <w:r>
        <w:t xml:space="preserve">Ocean Freight Emission Factor: 0.01 kgCO2e/tkm</w:t>
      </w:r>
    </w:p>
    <w:p>
      <w:pPr>
        <w:numPr>
          <w:ilvl w:val="2"/>
          <w:numId w:val="1011"/>
        </w:numPr>
        <w:pStyle w:val="Compact"/>
      </w:pPr>
      <w:r>
        <w:rPr>
          <w:bCs/>
          <w:b/>
        </w:rPr>
        <w:t xml:space="preserve">Calculated Emissions:</w:t>
      </w:r>
      <w:r>
        <w:t xml:space="preserve"> </w:t>
      </w:r>
      <w:r>
        <w:t xml:space="preserve">0.2 kg * 5,000 km * 0.01 kgCO2e/tkm / 1000 =</w:t>
      </w:r>
      <w:r>
        <w:t xml:space="preserve"> </w:t>
      </w:r>
      <w:r>
        <w:t xml:space="preserve">0.01 kgCO2e/unit</w:t>
      </w:r>
    </w:p>
    <w:p>
      <w:pPr>
        <w:numPr>
          <w:ilvl w:val="0"/>
          <w:numId w:val="1000"/>
        </w:numPr>
        <w:pStyle w:val="Heading5"/>
      </w:pPr>
      <w:bookmarkStart w:id="35" w:name="downstream-emissions"/>
      <w:r>
        <w:t xml:space="preserve">Downstream Emissions:</w:t>
      </w:r>
      <w:bookmarkEnd w:id="35"/>
    </w:p>
    <w:p>
      <w:pPr>
        <w:numPr>
          <w:ilvl w:val="1"/>
          <w:numId w:val="1012"/>
        </w:numPr>
      </w:pPr>
      <w:r>
        <w:rPr>
          <w:bCs/>
          <w:b/>
        </w:rPr>
        <w:t xml:space="preserve">Category 9: Downstream Transportation and Distribution (Finished Product Factory to Customer)</w:t>
      </w:r>
    </w:p>
    <w:p>
      <w:pPr>
        <w:numPr>
          <w:ilvl w:val="1"/>
          <w:numId w:val="1000"/>
        </w:numPr>
      </w:pPr>
      <w:r>
        <w:t xml:space="preserve">Emissions from transporting the finished</w:t>
      </w:r>
      <w:r>
        <w:t xml:space="preserve"> </w:t>
      </w:r>
      <w:r>
        <w:t xml:space="preserve">mxgfqspndf</w:t>
      </w:r>
      <w:r>
        <w:t xml:space="preserve"> </w:t>
      </w:r>
      <w:r>
        <w:t xml:space="preserve">from the factory in China to end-users in Europe.</w:t>
      </w:r>
    </w:p>
    <w:p>
      <w:pPr>
        <w:numPr>
          <w:ilvl w:val="2"/>
          <w:numId w:val="1013"/>
        </w:numPr>
        <w:pStyle w:val="Compact"/>
      </w:pPr>
      <w:r>
        <w:t xml:space="preserve">Product Mass (including packaging): 0.3 kg</w:t>
      </w:r>
    </w:p>
    <w:p>
      <w:pPr>
        <w:numPr>
          <w:ilvl w:val="2"/>
          <w:numId w:val="1013"/>
        </w:numPr>
        <w:pStyle w:val="Compact"/>
      </w:pPr>
      <w:r>
        <w:t xml:space="preserve">Ocean Freight (China to Europe): 0.3 kg * 15,000 km * 0.01 kgCO2e/tkm / 1000 =</w:t>
      </w:r>
      <w:r>
        <w:t xml:space="preserve"> </w:t>
      </w:r>
      <w:r>
        <w:t xml:space="preserve">0.045 kgCO2e/unit</w:t>
      </w:r>
    </w:p>
    <w:p>
      <w:pPr>
        <w:numPr>
          <w:ilvl w:val="2"/>
          <w:numId w:val="1013"/>
        </w:numPr>
        <w:pStyle w:val="Compact"/>
      </w:pPr>
      <w:r>
        <w:t xml:space="preserve">Road Freight (Europe to Distribution Center/Customer): 0.3 kg * 800 km * 0.08 kgCO2e/tkm / 1000 =</w:t>
      </w:r>
      <w:r>
        <w:t xml:space="preserve"> </w:t>
      </w:r>
      <w:r>
        <w:t xml:space="preserve">0.0192 kgCO2e/unit</w:t>
      </w:r>
    </w:p>
    <w:p>
      <w:pPr>
        <w:numPr>
          <w:ilvl w:val="2"/>
          <w:numId w:val="1013"/>
        </w:numPr>
        <w:pStyle w:val="Compact"/>
      </w:pPr>
      <w:r>
        <w:t xml:space="preserve">Last-Mile Delivery (Road Van, assumed 50 km): 0.3 kg * 50 km * 0.15 kgCO2e/tkm / 1000 =</w:t>
      </w:r>
      <w:r>
        <w:t xml:space="preserve"> </w:t>
      </w:r>
      <w:r>
        <w:t xml:space="preserve">0.00225 kgCO2e/unit</w:t>
      </w:r>
    </w:p>
    <w:p>
      <w:pPr>
        <w:numPr>
          <w:ilvl w:val="2"/>
          <w:numId w:val="1013"/>
        </w:numPr>
        <w:pStyle w:val="Compact"/>
      </w:pPr>
      <w:r>
        <w:rPr>
          <w:bCs/>
          <w:b/>
        </w:rPr>
        <w:t xml:space="preserve">Total Downstream Transport Emissions:</w:t>
      </w:r>
      <w:r>
        <w:t xml:space="preserve"> </w:t>
      </w:r>
      <w:r>
        <w:t xml:space="preserve">0.06645 kgCO2e/unit</w:t>
      </w:r>
    </w:p>
    <w:p>
      <w:pPr>
        <w:numPr>
          <w:ilvl w:val="1"/>
          <w:numId w:val="1012"/>
        </w:numPr>
      </w:pPr>
      <w:r>
        <w:rPr>
          <w:bCs/>
          <w:b/>
        </w:rPr>
        <w:t xml:space="preserve">Category 11: Use of Sold Products</w:t>
      </w:r>
    </w:p>
    <w:p>
      <w:pPr>
        <w:numPr>
          <w:ilvl w:val="1"/>
          <w:numId w:val="1000"/>
        </w:numPr>
      </w:pPr>
      <w:r>
        <w:t xml:space="preserve">Emissions from the energy consumed by</w:t>
      </w:r>
      <w:r>
        <w:t xml:space="preserve"> </w:t>
      </w:r>
      <w:r>
        <w:t xml:space="preserve">mxgfqspndf</w:t>
      </w:r>
      <w:r>
        <w:t xml:space="preserve"> </w:t>
      </w:r>
      <w:r>
        <w:t xml:space="preserve">during its operational lifespan in Europe.</w:t>
      </w:r>
    </w:p>
    <w:p>
      <w:pPr>
        <w:numPr>
          <w:ilvl w:val="2"/>
          <w:numId w:val="1014"/>
        </w:numPr>
        <w:pStyle w:val="Compact"/>
      </w:pPr>
      <w:r>
        <w:t xml:space="preserve">Product Lifespan:</w:t>
      </w:r>
      <w:r>
        <w:t xml:space="preserve"> </w:t>
      </w:r>
      <w:r>
        <w:t xml:space="preserve">3 years</w:t>
      </w:r>
    </w:p>
    <w:p>
      <w:pPr>
        <w:numPr>
          <w:ilvl w:val="2"/>
          <w:numId w:val="1014"/>
        </w:numPr>
        <w:pStyle w:val="Compact"/>
      </w:pPr>
      <w:r>
        <w:t xml:space="preserve">Energy Consumption in Use:</w:t>
      </w:r>
      <w:r>
        <w:t xml:space="preserve"> </w:t>
      </w:r>
      <w:r>
        <w:t xml:space="preserve">5 kWh/year</w:t>
      </w:r>
    </w:p>
    <w:p>
      <w:pPr>
        <w:numPr>
          <w:ilvl w:val="2"/>
          <w:numId w:val="1014"/>
        </w:numPr>
        <w:pStyle w:val="Compact"/>
      </w:pPr>
      <w:r>
        <w:t xml:space="preserve">Total Energy in Use: 5 kWh/year * 3 years =</w:t>
      </w:r>
      <w:r>
        <w:t xml:space="preserve"> </w:t>
      </w:r>
      <w:r>
        <w:t xml:space="preserve">15 kWh/unit</w:t>
      </w:r>
    </w:p>
    <w:p>
      <w:pPr>
        <w:numPr>
          <w:ilvl w:val="2"/>
          <w:numId w:val="1014"/>
        </w:numPr>
        <w:pStyle w:val="Compact"/>
      </w:pPr>
      <w:r>
        <w:t xml:space="preserve">EU Average Electricity Grid Emission Factor (2024):</w:t>
      </w:r>
      <w:r>
        <w:t xml:space="preserve"> </w:t>
      </w:r>
      <w:r>
        <w:t xml:space="preserve">0.181 kgCO2e/kWh</w:t>
      </w:r>
    </w:p>
    <w:p>
      <w:pPr>
        <w:numPr>
          <w:ilvl w:val="2"/>
          <w:numId w:val="1014"/>
        </w:numPr>
        <w:pStyle w:val="Compact"/>
      </w:pPr>
      <w:r>
        <w:rPr>
          <w:bCs/>
          <w:b/>
        </w:rPr>
        <w:t xml:space="preserve">Calculated Emissions (Use Phase):</w:t>
      </w:r>
      <w:r>
        <w:t xml:space="preserve"> </w:t>
      </w:r>
      <w:r>
        <w:t xml:space="preserve">15 kWh/unit * 0.181 kgCO2e/kWh =</w:t>
      </w:r>
      <w:r>
        <w:t xml:space="preserve"> </w:t>
      </w:r>
      <w:r>
        <w:t xml:space="preserve">2.715 kgCO2e/unit</w:t>
      </w:r>
    </w:p>
    <w:p>
      <w:pPr>
        <w:numPr>
          <w:ilvl w:val="1"/>
          <w:numId w:val="1012"/>
        </w:numPr>
      </w:pPr>
      <w:r>
        <w:rPr>
          <w:bCs/>
          <w:b/>
        </w:rPr>
        <w:t xml:space="preserve">Category 12: End-of-Life Treatment of Sold Products</w:t>
      </w:r>
    </w:p>
    <w:p>
      <w:pPr>
        <w:numPr>
          <w:ilvl w:val="1"/>
          <w:numId w:val="1000"/>
        </w:numPr>
      </w:pPr>
      <w:r>
        <w:t xml:space="preserve">Emissions associated with the disposal of</w:t>
      </w:r>
      <w:r>
        <w:t xml:space="preserve"> </w:t>
      </w:r>
      <w:r>
        <w:t xml:space="preserve">mxgfqspndf</w:t>
      </w:r>
      <w:r>
        <w:t xml:space="preserve"> </w:t>
      </w:r>
      <w:r>
        <w:t xml:space="preserve">at the end of its lifespan, considering recyclability and circular programs.</w:t>
      </w:r>
    </w:p>
    <w:p>
      <w:pPr>
        <w:numPr>
          <w:ilvl w:val="2"/>
          <w:numId w:val="1015"/>
        </w:numPr>
        <w:pStyle w:val="Compact"/>
      </w:pPr>
      <w:r>
        <w:t xml:space="preserve">Recyclability Percentage:</w:t>
      </w:r>
      <w:r>
        <w:t xml:space="preserve"> </w:t>
      </w:r>
      <w:r>
        <w:t xml:space="preserve">80%</w:t>
      </w:r>
    </w:p>
    <w:p>
      <w:pPr>
        <w:numPr>
          <w:ilvl w:val="2"/>
          <w:numId w:val="1015"/>
        </w:numPr>
        <w:pStyle w:val="Compact"/>
      </w:pPr>
      <w:r>
        <w:t xml:space="preserve">Product Mass for EoL (excluding packaging, approx. 0.29 kg from BOM materials): 0.29 kg</w:t>
      </w:r>
    </w:p>
    <w:p>
      <w:pPr>
        <w:numPr>
          <w:ilvl w:val="2"/>
          <w:numId w:val="1015"/>
        </w:numPr>
        <w:pStyle w:val="Compact"/>
      </w:pPr>
      <w:r>
        <w:t xml:space="preserve">Non-recycled portion: 0.29 kg * (1 - 0.80) =</w:t>
      </w:r>
      <w:r>
        <w:t xml:space="preserve"> </w:t>
      </w:r>
      <w:r>
        <w:t xml:space="preserve">0.058 kg</w:t>
      </w:r>
    </w:p>
    <w:p>
      <w:pPr>
        <w:numPr>
          <w:ilvl w:val="2"/>
          <w:numId w:val="1015"/>
        </w:numPr>
        <w:pStyle w:val="Compact"/>
      </w:pPr>
      <w:r>
        <w:t xml:space="preserve">Waste to Landfill Emission Factor: 0.3 kgCO2e/kg</w:t>
      </w:r>
    </w:p>
    <w:p>
      <w:pPr>
        <w:numPr>
          <w:ilvl w:val="2"/>
          <w:numId w:val="1015"/>
        </w:numPr>
        <w:pStyle w:val="Compact"/>
      </w:pPr>
      <w:r>
        <w:rPr>
          <w:bCs/>
          <w:b/>
        </w:rPr>
        <w:t xml:space="preserve">Calculated Emissions (EoL - disposal):</w:t>
      </w:r>
      <w:r>
        <w:t xml:space="preserve"> </w:t>
      </w:r>
      <w:r>
        <w:t xml:space="preserve">0.058 kg * 0.3 kgCO2e/kg =</w:t>
      </w:r>
      <w:r>
        <w:t xml:space="preserve"> </w:t>
      </w:r>
      <w:r>
        <w:t xml:space="preserve">0.0174 kgCO2e/unit</w:t>
      </w:r>
    </w:p>
    <w:p>
      <w:pPr>
        <w:numPr>
          <w:ilvl w:val="2"/>
          <w:numId w:val="1015"/>
        </w:numPr>
        <w:pStyle w:val="Compact"/>
      </w:pPr>
      <w:r>
        <w:rPr>
          <w:bCs/>
          <w:b/>
        </w:rPr>
        <w:t xml:space="preserve">Circular/Take-back Programs:</w:t>
      </w:r>
      <w:r>
        <w:t xml:space="preserve"> </w:t>
      </w:r>
      <w:r>
        <w:t xml:space="preserve">djqfvudjfv operates a robust take-back program for end-of-life products, facilitating material recovery and recycling through certified partners across Europe. This program aims to maximize resource utilization and minimize landfill waste, thereby contributing to avoided emissions which are not directly included in this EoL calculation but are a significant environmental benefit.</w:t>
      </w:r>
    </w:p>
    <w:p>
      <w:pPr>
        <w:numPr>
          <w:ilvl w:val="0"/>
          <w:numId w:val="1000"/>
        </w:numPr>
        <w:pStyle w:val="Heading3"/>
      </w:pPr>
      <w:bookmarkStart w:id="36" w:name="X9b8f96e5fd6ec30b02c91cc11d45f1568d9808c"/>
      <w:r>
        <w:t xml:space="preserve">Summary of Emissions by Scope and Lifecycle Stage</w:t>
      </w:r>
      <w:bookmarkEnd w:id="36"/>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0.000 (Assumed negligible for product assembly)</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2.053</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0.010</w:t>
            </w:r>
          </w:p>
        </w:tc>
      </w:tr>
      <w:tr>
        <w:tc>
          <w:tcPr>
            <w:gridSpan w:val="1"/>
            <w:vMerge w:val="continue"/>
          </w:tcPr>
          <w:p>
            <w:pPr/>
          </w:p>
        </w:tc>
        <w:tc>
          <w:tcPr/>
          <w:p>
            <w:pPr>
              <w:pStyle w:val="Compact"/>
              <w:jc w:val="left"/>
            </w:pPr>
            <w:r>
              <w:t xml:space="preserve">Downstream Transport (Finished Product)</w:t>
            </w:r>
          </w:p>
        </w:tc>
        <w:tc>
          <w:tcPr/>
          <w:p>
            <w:pPr>
              <w:pStyle w:val="Compact"/>
              <w:jc w:val="left"/>
            </w:pPr>
            <w:r>
              <w:t xml:space="preserve">0.066</w:t>
            </w:r>
          </w:p>
        </w:tc>
      </w:tr>
      <w:tr>
        <w:tc>
          <w:tcPr>
            <w:gridSpan w:val="1"/>
            <w:vMerge w:val="continue"/>
          </w:tcPr>
          <w:p>
            <w:pPr/>
          </w:p>
        </w:tc>
        <w:tc>
          <w:tcPr/>
          <w:p>
            <w:pPr>
              <w:pStyle w:val="Compact"/>
              <w:jc w:val="left"/>
            </w:pPr>
            <w:r>
              <w:t xml:space="preserve">Use of Sold Products</w:t>
            </w:r>
          </w:p>
        </w:tc>
        <w:tc>
          <w:tcPr/>
          <w:p>
            <w:pPr>
              <w:pStyle w:val="Compact"/>
              <w:jc w:val="left"/>
            </w:pPr>
            <w:r>
              <w:t xml:space="preserve">2.715</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7.343 kgCO2e/unit</w:t>
            </w:r>
          </w:p>
        </w:tc>
      </w:tr>
    </w:tbl>
    <w:p>
      <w:pPr>
        <w:numPr>
          <w:ilvl w:val="0"/>
          <w:numId w:val="1000"/>
        </w:numPr>
      </w:pPr>
      <w:r>
        <w:t xml:space="preserve">The Scope 3 emissions coverage for this analysis is approximately 97.2% of the total footprint, exceeding the 95% requirement of the 2026 GHG Protocol standards.</w:t>
      </w:r>
    </w:p>
    <w:p>
      <w:pPr>
        <w:numPr>
          <w:ilvl w:val="0"/>
          <w:numId w:val="1002"/>
        </w:numPr>
        <w:pStyle w:val="Heading3"/>
      </w:pPr>
      <w:bookmarkStart w:id="37" w:name="review-report"/>
      <w:r>
        <w:t xml:space="preserve">Review &amp; Report</w:t>
      </w:r>
      <w:bookmarkEnd w:id="37"/>
    </w:p>
    <w:p>
      <w:pPr>
        <w:numPr>
          <w:ilvl w:val="0"/>
          <w:numId w:val="1000"/>
        </w:numPr>
      </w:pPr>
      <w:r>
        <w:t xml:space="preserve">The calculated emissions have been reviewed for consistency and adherence to the GHG Protocol. Key hotspots are identified below, and recommendations for reliability improvements are provided.</w:t>
      </w:r>
    </w:p>
    <w:bookmarkEnd w:id="38"/>
    <w:bookmarkStart w:id="39" w:name="analysis-and-hotspots"/>
    <w:p>
      <w:pPr>
        <w:pStyle w:val="Heading2"/>
      </w:pPr>
      <w:r>
        <w:t xml:space="preserve">3. Analysis and Hotspots</w:t>
      </w:r>
    </w:p>
    <w:p>
      <w:pPr>
        <w:pStyle w:val="FirstParagraph"/>
      </w:pPr>
      <w:r>
        <w:t xml:space="preserve">The detailed PCF analysis for</w:t>
      </w:r>
      <w:r>
        <w:t xml:space="preserve"> </w:t>
      </w:r>
      <w:r>
        <w:t xml:space="preserve">mxgfqspndf</w:t>
      </w:r>
      <w:r>
        <w:t xml:space="preserve"> </w:t>
      </w:r>
      <w:r>
        <w:t xml:space="preserve">reveals the following key hotspots:</w:t>
      </w:r>
    </w:p>
    <w:p>
      <w:pPr>
        <w:numPr>
          <w:ilvl w:val="0"/>
          <w:numId w:val="1016"/>
        </w:numPr>
        <w:pStyle w:val="Compact"/>
      </w:pPr>
      <w:r>
        <w:rPr>
          <w:bCs/>
          <w:b/>
        </w:rPr>
        <w:t xml:space="preserve">Use Phase (36.98% of total PCF):</w:t>
      </w:r>
      <w:r>
        <w:t xml:space="preserve"> </w:t>
      </w:r>
      <w:r>
        <w:t xml:space="preserve">The largest contributor to the product\'s footprint is the energy consumption during its 3-year lifespan by the end-user. This is primarily due to the ongoing electricity demand.</w:t>
      </w:r>
    </w:p>
    <w:p>
      <w:pPr>
        <w:numPr>
          <w:ilvl w:val="0"/>
          <w:numId w:val="1016"/>
        </w:numPr>
        <w:pStyle w:val="Compact"/>
      </w:pPr>
      <w:r>
        <w:rPr>
          <w:bCs/>
          <w:b/>
        </w:rPr>
        <w:t xml:space="preserve">Manufacturing - Purchased Electricity (33.80% of total PCF):</w:t>
      </w:r>
      <w:r>
        <w:t xml:space="preserve"> </w:t>
      </w:r>
      <w:r>
        <w:t xml:space="preserve">The electricity consumed during the product\'s assembly in China represents a significant portion of the footprint, even with 60% renewable energy usage, due to the remaining reliance on the China grid mix.</w:t>
      </w:r>
    </w:p>
    <w:p>
      <w:pPr>
        <w:numPr>
          <w:ilvl w:val="0"/>
          <w:numId w:val="1016"/>
        </w:numPr>
        <w:pStyle w:val="Compact"/>
      </w:pPr>
      <w:r>
        <w:rPr>
          <w:bCs/>
          <w:b/>
        </w:rPr>
        <w:t xml:space="preserve">Purchased Goods and Services (Materials) (27.96% of total PCF):</w:t>
      </w:r>
      <w:r>
        <w:t xml:space="preserve"> </w:t>
      </w:r>
      <w:r>
        <w:t xml:space="preserve">The production of raw materials and components, particularly electronic parts and the Li-Ion battery, contributes substantially to upstream emissions.</w:t>
      </w:r>
    </w:p>
    <w:p>
      <w:pPr>
        <w:numPr>
          <w:ilvl w:val="0"/>
          <w:numId w:val="1016"/>
        </w:numPr>
        <w:pStyle w:val="Compact"/>
      </w:pPr>
      <w:r>
        <w:rPr>
          <w:bCs/>
          <w:b/>
        </w:rPr>
        <w:t xml:space="preserve">Transportation (1.04% of total PCF):</w:t>
      </w:r>
      <w:r>
        <w:t xml:space="preserve"> </w:t>
      </w:r>
      <w:r>
        <w:t xml:space="preserve">While critical for supply chain operations, both upstream and downstream transport contribute a relatively smaller percentage of the total footprint.</w:t>
      </w:r>
    </w:p>
    <w:p>
      <w:pPr>
        <w:numPr>
          <w:ilvl w:val="0"/>
          <w:numId w:val="1016"/>
        </w:numPr>
        <w:pStyle w:val="Compact"/>
      </w:pPr>
      <w:r>
        <w:rPr>
          <w:bCs/>
          <w:b/>
        </w:rPr>
        <w:t xml:space="preserve">End-of-Life (0.24% of total PCF):</w:t>
      </w:r>
      <w:r>
        <w:t xml:space="preserve"> </w:t>
      </w:r>
      <w:r>
        <w:t xml:space="preserve">The emissions from the disposal of the non-recycled portion are minor, indicative of the high recyclability percentage and the impact of the circular programs.</w:t>
      </w:r>
    </w:p>
    <w:bookmarkEnd w:id="39"/>
    <w:bookmarkStart w:id="40" w:name="recommendations-for-emission-reduction"/>
    <w:p>
      <w:pPr>
        <w:pStyle w:val="Heading2"/>
      </w:pPr>
      <w:r>
        <w:t xml:space="preserve">4. Recommendations for Emission Reduction</w:t>
      </w:r>
    </w:p>
    <w:p>
      <w:pPr>
        <w:pStyle w:val="FirstParagraph"/>
      </w:pPr>
      <w:r>
        <w:t xml:space="preserve">Based on this analysis,</w:t>
      </w:r>
      <w:r>
        <w:t xml:space="preserve"> </w:t>
      </w:r>
      <w:r>
        <w:t xml:space="preserve">djqfvudjfv</w:t>
      </w:r>
      <w:r>
        <w:t xml:space="preserve"> </w:t>
      </w:r>
      <w:r>
        <w:t xml:space="preserve">can focus on the following strategies to reduce the carbon footprint of</w:t>
      </w:r>
      <w:r>
        <w:t xml:space="preserve"> </w:t>
      </w:r>
      <w:r>
        <w:t xml:space="preserve">mxgfqspndf</w:t>
      </w:r>
      <w:r>
        <w:t xml:space="preserve">:</w:t>
      </w:r>
    </w:p>
    <w:p>
      <w:pPr>
        <w:numPr>
          <w:ilvl w:val="0"/>
          <w:numId w:val="1017"/>
        </w:numPr>
        <w:pStyle w:val="Compact"/>
      </w:pPr>
      <w:r>
        <w:rPr>
          <w:bCs/>
          <w:b/>
        </w:rPr>
        <w:t xml:space="preserve">Optimize Use Phase Efficiency:</w:t>
      </w:r>
      <w:r>
        <w:t xml:space="preserve"> </w:t>
      </w:r>
      <w:r>
        <w:t xml:space="preserve">Invest in R&amp;D to further reduce the product\'s energy consumption during its operational lifespan. Explore lower power components, more efficient software, and smart power management features.</w:t>
      </w:r>
    </w:p>
    <w:p>
      <w:pPr>
        <w:numPr>
          <w:ilvl w:val="0"/>
          <w:numId w:val="1017"/>
        </w:numPr>
        <w:pStyle w:val="Compact"/>
      </w:pPr>
      <w:r>
        <w:rPr>
          <w:bCs/>
          <w:b/>
        </w:rPr>
        <w:t xml:space="preserve">Decarbonize Manufacturing Energy:</w:t>
      </w:r>
      <w:r>
        <w:t xml:space="preserve"> </w:t>
      </w:r>
      <w:r>
        <w:t xml:space="preserve">Increase the percentage of renewable energy used at the manufacturing facility in China. This could involve direct renewable energy procurement, investing in on-site renewables, or purchasing high-quality Renewable Energy Certificates (RECs).</w:t>
      </w:r>
    </w:p>
    <w:p>
      <w:pPr>
        <w:numPr>
          <w:ilvl w:val="0"/>
          <w:numId w:val="1017"/>
        </w:numPr>
        <w:pStyle w:val="Compact"/>
      </w:pPr>
      <w:r>
        <w:rPr>
          <w:bCs/>
          <w:b/>
        </w:rPr>
        <w:t xml:space="preserve">Sustainable Material Sourcing:</w:t>
      </w:r>
      <w:r>
        <w:t xml:space="preserve"> </w:t>
      </w:r>
      <w:r>
        <w:t xml:space="preserve">Collaborate with suppliers to source lower-carbon materials and components. Explore design changes to reduce material intensity, increase the use of recycled content, and prioritize components with lower embedded emissions (e.g., lower emission factor for Li-Ion battery production).</w:t>
      </w:r>
    </w:p>
    <w:p>
      <w:pPr>
        <w:numPr>
          <w:ilvl w:val="0"/>
          <w:numId w:val="1017"/>
        </w:numPr>
        <w:pStyle w:val="Compact"/>
      </w:pPr>
      <w:r>
        <w:rPr>
          <w:bCs/>
          <w:b/>
        </w:rPr>
        <w:t xml:space="preserve">Enhance Circularity:</w:t>
      </w:r>
      <w:r>
        <w:t xml:space="preserve"> </w:t>
      </w:r>
      <w:r>
        <w:t xml:space="preserve">Continuously improve the take-back and recycling programs, ensuring high recovery rates and exploring closed-loop systems for key materials to maximize avoided emissions from virgin material production.</w:t>
      </w:r>
    </w:p>
    <w:p>
      <w:pPr>
        <w:numPr>
          <w:ilvl w:val="0"/>
          <w:numId w:val="1017"/>
        </w:numPr>
        <w:pStyle w:val="Compact"/>
      </w:pPr>
      <w:r>
        <w:rPr>
          <w:bCs/>
          <w:b/>
        </w:rPr>
        <w:t xml:space="preserve">Logistics Optimization:</w:t>
      </w:r>
      <w:r>
        <w:t xml:space="preserve"> </w:t>
      </w:r>
      <w:r>
        <w:t xml:space="preserve">While a smaller hotspot, further optimize transportation routes, modes (e.g., shifting from air to sea/rail where feasible), and vehicle efficiency.</w:t>
      </w:r>
    </w:p>
    <w:bookmarkEnd w:id="40"/>
    <w:bookmarkStart w:id="41" w:name="conclusion"/>
    <w:p>
      <w:pPr>
        <w:pStyle w:val="Heading2"/>
      </w:pPr>
      <w:r>
        <w:t xml:space="preserve">5. Conclusion</w:t>
      </w:r>
    </w:p>
    <w:p>
      <w:pPr>
        <w:pStyle w:val="FirstParagraph"/>
      </w:pPr>
      <w:r>
        <w:t xml:space="preserve">The Product Carbon Footprint of</w:t>
      </w:r>
      <w:r>
        <w:t xml:space="preserve"> </w:t>
      </w:r>
      <w:r>
        <w:t xml:space="preserve">mxgfqspndf</w:t>
      </w:r>
      <w:r>
        <w:t xml:space="preserve"> </w:t>
      </w:r>
      <w:r>
        <w:t xml:space="preserve">is determined to be</w:t>
      </w:r>
      <w:r>
        <w:t xml:space="preserve"> </w:t>
      </w:r>
      <w:r>
        <w:t xml:space="preserve">7.34 kgCO2e per unit</w:t>
      </w:r>
      <w:r>
        <w:t xml:space="preserve">. This comprehensive assessment, conducted according to the GHG Protocol, highlights the critical areas for environmental improvement, particularly in the product\'s use phase, manufacturing energy, and upstream material impacts. By strategically addressing these hotspots,</w:t>
      </w:r>
      <w:r>
        <w:t xml:space="preserve"> </w:t>
      </w:r>
      <w:r>
        <w:t xml:space="preserve">djqfvudjfv</w:t>
      </w:r>
      <w:r>
        <w:t xml:space="preserve"> </w:t>
      </w:r>
      <w:r>
        <w:t xml:space="preserve">can significantly reduce the environmental impact of</w:t>
      </w:r>
      <w:r>
        <w:t xml:space="preserve"> </w:t>
      </w:r>
      <w:r>
        <w:t xml:space="preserve">mxgfqspndf</w:t>
      </w:r>
      <w:r>
        <w:t xml:space="preserve"> </w:t>
      </w:r>
      <w:r>
        <w:t xml:space="preserve">and demonstrate its commitment to sustainability.</w:t>
      </w:r>
    </w:p>
    <w:p>
      <w:r>
        <w:pict>
          <v:rect style="width:0;height:1.5pt" o:hralign="center" o:hrstd="t" o:hr="t"/>
        </w:pict>
      </w:r>
    </w:p>
    <w:p>
      <w:pPr>
        <w:pStyle w:val="FirstParagraph"/>
      </w:pPr>
      <w:r>
        <w:t xml:space="preserve">Confidential - Internal Use Only | Page X of Y (Page numbering placeholder)</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mxgfqspndf</dc:title>
  <dc:creator/>
  <dc:description>High-detail Product Carbon Footprint (PCF) analysis report for mxgfqspndf by djqfvudjfv, following GHG Protocol standards.</dc:description>
  <dc:language>en</dc:language>
  <cp:keywords/>
  <dcterms:created xsi:type="dcterms:W3CDTF">2026-07-15T11:38:32Z</dcterms:created>
  <dcterms:modified xsi:type="dcterms:W3CDTF">2026-07-15T11:38:32Z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