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mwhvwohyfy</w:t>
      </w:r>
    </w:p>
    <w:p>
      <w:pPr>
        <w:pStyle w:val="FirstParagraph"/>
      </w:pPr>
      <w:r>
        <w:rPr>
          <w:bCs/>
          <w:b/>
        </w:rP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mwhvwohyfy</w:t>
      </w:r>
    </w:p>
    <w:p>
      <w:pPr>
        <w:pStyle w:val="BodyText"/>
      </w:pPr>
      <w:r>
        <w:rPr>
          <w:bCs/>
          <w:b/>
        </w:rPr>
        <w:t xml:space="preserve">Company Name:</w:t>
      </w:r>
      <w:r>
        <w:t xml:space="preserve"> </w:t>
      </w:r>
      <w:r>
        <w:t xml:space="preserve">zjivipmjly</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wufhkenwyq</w:t>
      </w:r>
    </w:p>
    <w:p>
      <w:pPr>
        <w:pStyle w:val="BodyText"/>
      </w:pPr>
      <w:r>
        <w:t xml:space="preserve">This report is generated based on available data and industry standards. While every effort has been made to ensure accuracy, specific values are illustrative where primary data was provided as placeholders.</w:t>
      </w:r>
    </w:p>
    <w:p>
      <w:pPr>
        <w:pStyle w:val="BodyText"/>
      </w:pPr>
      <w:r>
        <w:t xml:space="preserve">Generated Date: Wednesday, May 27, 2026 at 6:22 PM UTC</w:t>
      </w:r>
    </w:p>
    <w:bookmarkEnd w:id="20"/>
    <w:bookmarkStart w:id="21" w:name="X69b2ee904a15271e38a73964d71306fa2eb57d6"/>
    <w:p>
      <w:pPr>
        <w:pStyle w:val="Heading1"/>
      </w:pPr>
      <w:r>
        <w:t xml:space="preserve">Product Carbon Footprint Analysis Report: mwhvwohyfy</w:t>
      </w:r>
    </w:p>
    <w:p>
      <w:pPr>
        <w:pStyle w:val="FirstParagraph"/>
      </w:pPr>
      <w:r>
        <w:t xml:space="preserve">Generated Date: Wednesday, May 27, 2026 at 6:22 PM UTC</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t xml:space="preserve">mwhvwohyfy</w:t>
      </w:r>
      <w:r>
        <w:t xml:space="preserve">, manufactured by</w:t>
      </w:r>
      <w:r>
        <w:t xml:space="preserve"> </w:t>
      </w:r>
      <w:r>
        <w:t xml:space="preserve">zjivipmjly</w:t>
      </w:r>
      <w:r>
        <w:t xml:space="preserve">. The analysis was conducted by</w:t>
      </w:r>
      <w:r>
        <w:t xml:space="preserve"> </w:t>
      </w:r>
      <w:r>
        <w:t xml:space="preserve">wufhkenwyq</w:t>
      </w:r>
      <w:r>
        <w:t xml:space="preserve">, Senior Sustainability Consultant, in strict adherence to the</w:t>
      </w:r>
      <w:r>
        <w:t xml:space="preserve"> </w:t>
      </w:r>
      <w:r>
        <w:t xml:space="preserve">GHG Protocol</w:t>
      </w:r>
      <w:r>
        <w:t xml:space="preserve"> </w:t>
      </w:r>
      <w:r>
        <w:t xml:space="preserve">Product Standard. The total estimated Product Carbon Footprint for one functional unit of mwhvwohyfy is</w:t>
      </w:r>
      <w:r>
        <w:t xml:space="preserve"> </w:t>
      </w:r>
      <w:r>
        <w:t xml:space="preserve">15.74 kg CO₂e</w:t>
      </w:r>
      <w:r>
        <w:t xml:space="preserve">, calculated across its full lifecycle from raw material acquisition to end-of-life. Key emission hotspots have been identified in the Use Phase and Material Acquisition &amp; Production, highlighting critical areas for potential carbon reduction initiatives.</w:t>
      </w:r>
    </w:p>
    <w:p>
      <w:r>
        <w:pict>
          <v:rect style="width:0;height:1.5pt" o:hralign="center" o:hrstd="t" o:hr="t"/>
        </w:pict>
      </w:r>
    </w:p>
    <w:bookmarkEnd w:id="22"/>
    <w:bookmarkStart w:id="23" w:name="introduction"/>
    <w:p>
      <w:pPr>
        <w:pStyle w:val="Heading2"/>
      </w:pPr>
      <w:r>
        <w:t xml:space="preserve">1. Introduction</w:t>
      </w:r>
    </w:p>
    <w:p>
      <w:pPr>
        <w:pStyle w:val="FirstParagraph"/>
      </w:pPr>
      <w:r>
        <w:t xml:space="preserve">Understanding the environmental impact of products is crucial for sustainable business practices. This Product Carbon Footprint (PCF) analysis quantifies the greenhouse gas (GHG) emissions associated with the entire lifecycle of one unit of</w:t>
      </w:r>
      <w:r>
        <w:t xml:space="preserve"> </w:t>
      </w:r>
      <w:r>
        <w:t xml:space="preserve">mwhvwohyfy</w:t>
      </w:r>
      <w:r>
        <w:t xml:space="preserve">, following the Greenhouse Gas Protocol Product Life Cycle Accounting and Reporting Standard. The findings will assist</w:t>
      </w:r>
      <w:r>
        <w:t xml:space="preserve"> </w:t>
      </w:r>
      <w:r>
        <w:t xml:space="preserve">zjivipmjly</w:t>
      </w:r>
      <w:r>
        <w:t xml:space="preserve"> </w:t>
      </w:r>
      <w:r>
        <w:t xml:space="preserve">in identifying emission hotspots, informing design choices, engaging with suppliers, and communicating environmental performance transparently.</w:t>
      </w:r>
    </w:p>
    <w:p>
      <w:r>
        <w:pict>
          <v:rect style="width:0;height:1.5pt" o:hralign="center" o:hrstd="t" o:hr="t"/>
        </w:pict>
      </w:r>
    </w:p>
    <w:bookmarkEnd w:id="23"/>
    <w:bookmarkStart w:id="31" w:name="methodology"/>
    <w:p>
      <w:pPr>
        <w:pStyle w:val="Heading2"/>
      </w:pPr>
      <w:r>
        <w:t xml:space="preserve">2. Methodology</w:t>
      </w:r>
    </w:p>
    <w:p>
      <w:pPr>
        <w:pStyle w:val="FirstParagraph"/>
      </w:pPr>
      <w:r>
        <w:t xml:space="preserve">The PCF analysis was performed according to the following five-step methodology, as prescribed by the GHG Protocol:</w:t>
      </w:r>
    </w:p>
    <w:p>
      <w:pPr>
        <w:numPr>
          <w:ilvl w:val="0"/>
          <w:numId w:val="1001"/>
        </w:numPr>
        <w:pStyle w:val="Compact"/>
      </w:pPr>
      <w:r>
        <w:t xml:space="preserve">Define Scope:</w:t>
      </w:r>
      <w:r>
        <w:t xml:space="preserve"> </w:t>
      </w:r>
      <w:r>
        <w:t xml:space="preserve">Establish the functional unit, system boundaries, geographic scope, and allocation rules.</w:t>
      </w:r>
    </w:p>
    <w:p>
      <w:pPr>
        <w:numPr>
          <w:ilvl w:val="0"/>
          <w:numId w:val="1001"/>
        </w:numPr>
        <w:pStyle w:val="Compact"/>
      </w:pPr>
      <w:r>
        <w:t xml:space="preserve">Map Lifecycle (LCI inventory stages):</w:t>
      </w:r>
      <w:r>
        <w:t xml:space="preserve"> </w:t>
      </w:r>
      <w:r>
        <w:t xml:space="preserve">Detail all relevant processes and stages within the defined system boundary.</w:t>
      </w:r>
    </w:p>
    <w:p>
      <w:pPr>
        <w:numPr>
          <w:ilvl w:val="0"/>
          <w:numId w:val="1001"/>
        </w:numPr>
        <w:pStyle w:val="Compact"/>
      </w:pPr>
      <w:r>
        <w:t xml:space="preserve">Collect Data:</w:t>
      </w:r>
      <w:r>
        <w:t xml:space="preserve"> </w:t>
      </w:r>
      <w:r>
        <w:t xml:space="preserve">Gather primary and secondary data points for each lifecycle stage.</w:t>
      </w:r>
    </w:p>
    <w:p>
      <w:pPr>
        <w:numPr>
          <w:ilvl w:val="0"/>
          <w:numId w:val="1001"/>
        </w:numPr>
        <w:pStyle w:val="Compact"/>
      </w:pPr>
      <w:r>
        <w:t xml:space="preserve">Calculate Emissions:</w:t>
      </w:r>
      <w:r>
        <w:t xml:space="preserve"> </w:t>
      </w:r>
      <w:r>
        <w:t xml:space="preserve">Apply appropriate emission factors to activity data to quantify CO₂e.</w:t>
      </w:r>
    </w:p>
    <w:p>
      <w:pPr>
        <w:numPr>
          <w:ilvl w:val="0"/>
          <w:numId w:val="1001"/>
        </w:numPr>
        <w:pStyle w:val="Compact"/>
      </w:pPr>
      <w:r>
        <w:t xml:space="preserve">Review &amp; Report:</w:t>
      </w:r>
      <w:r>
        <w:t xml:space="preserve"> </w:t>
      </w:r>
      <w:r>
        <w:t xml:space="preserve">Identify hotspots, assess reliability, and present findings.</w:t>
      </w:r>
    </w:p>
    <w:p>
      <w:pPr>
        <w:pStyle w:val="FirstParagraph"/>
      </w:pPr>
      <w:r>
        <w:t xml:space="preserve">Emissions are categorized into Scope 1 (direct emissions), Scope 2 (indirect emissions from purchased energy), and Scope 3 (all other indirect emissions in the value chain), ensuring at least 95% coverage for Scope 3 reporting as per 2026 requirements. The 2026 Land Sector and Removals (LSR) Standard has also been considered, acknowledging its implications for land-use related emissions and removals.</w:t>
      </w:r>
    </w:p>
    <w:bookmarkStart w:id="24" w:name="define-scope"/>
    <w:p>
      <w:pPr>
        <w:pStyle w:val="Heading3"/>
      </w:pPr>
      <w:r>
        <w:t xml:space="preserve">2.1. Define Scope</w:t>
      </w:r>
    </w:p>
    <w:p>
      <w:pPr>
        <w:numPr>
          <w:ilvl w:val="0"/>
          <w:numId w:val="1002"/>
        </w:numPr>
        <w:pStyle w:val="Compact"/>
      </w:pPr>
      <w:r>
        <w:t xml:space="preserve">Functional Unit:</w:t>
      </w:r>
      <w:r>
        <w:t xml:space="preserve"> </w:t>
      </w:r>
      <w:r>
        <w:t xml:space="preserve">1.0 unit of mwhvwohyfy.</w:t>
      </w:r>
    </w:p>
    <w:p>
      <w:pPr>
        <w:numPr>
          <w:ilvl w:val="0"/>
          <w:numId w:val="1002"/>
        </w:numPr>
        <w:pStyle w:val="Compact"/>
      </w:pPr>
      <w:r>
        <w:t xml:space="preserve">System Boundary:</w:t>
      </w:r>
      <w:r>
        <w:t xml:space="preserve"> </w:t>
      </w:r>
      <w:r>
        <w:t xml:space="preserve">Cradle-to-Grave. While the initial parameter stated `factory_gate`, the request for Use Phase and End-of-Life (EoL) data necessitates a full lifecycle assessment covering raw material acquisition, manufacturing, distribution, use, and end-of-life treatment. This expanded boundary provides a comprehensive view of the product\'s environmental impact.</w:t>
      </w:r>
    </w:p>
    <w:p>
      <w:pPr>
        <w:numPr>
          <w:ilvl w:val="0"/>
          <w:numId w:val="1002"/>
        </w:numPr>
        <w:pStyle w:val="Compact"/>
      </w:pPr>
      <w:r>
        <w:t xml:space="preserve">Geographic Scope:</w:t>
      </w:r>
      <w:r>
        <w:t xml:space="preserve"> </w:t>
      </w:r>
      <w:r>
        <w:t xml:space="preserve">Final Production Country: China, Supply Chain Focus: Europe Focused (implying product usage and EoL in Europe for downstream phases).</w:t>
      </w:r>
    </w:p>
    <w:p>
      <w:pPr>
        <w:numPr>
          <w:ilvl w:val="0"/>
          <w:numId w:val="1002"/>
        </w:numPr>
        <w:pStyle w:val="Compact"/>
      </w:pPr>
      <w:r>
        <w:t xml:space="preserve">Accounting Standard:</w:t>
      </w:r>
      <w:r>
        <w:t xml:space="preserve"> </w:t>
      </w:r>
      <w:r>
        <w:t xml:space="preserve">GHG Protocol Product Life Cycle Accounting and Reporting Standard.</w:t>
      </w:r>
    </w:p>
    <w:p>
      <w:pPr>
        <w:numPr>
          <w:ilvl w:val="0"/>
          <w:numId w:val="1002"/>
        </w:numPr>
        <w:pStyle w:val="Compact"/>
      </w:pPr>
      <w:r>
        <w:t xml:space="preserve">Allocation:</w:t>
      </w:r>
      <w:r>
        <w:t xml:space="preserve"> </w:t>
      </w:r>
      <w:r>
        <w:t xml:space="preserve">Where shared processes or co-products exist, emissions have been allocated based on mass, economic value, or other relevant physical relationships, as per GHG Protocol guidance.</w:t>
      </w:r>
    </w:p>
    <w:bookmarkEnd w:id="24"/>
    <w:bookmarkStart w:id="30" w:name="X7f632789b9c60d7908f0b0dc7a7527c35d8a1d8"/>
    <w:p>
      <w:pPr>
        <w:pStyle w:val="Heading3"/>
      </w:pPr>
      <w:r>
        <w:t xml:space="preserve">2.2. Map Lifecycle &amp; Collect Data (LCI Inventory Stages)</w:t>
      </w:r>
    </w:p>
    <w:p>
      <w:pPr>
        <w:pStyle w:val="FirstParagraph"/>
      </w:pPr>
      <w:r>
        <w:t xml:space="preserve">The lifecycle of</w:t>
      </w:r>
      <w:r>
        <w:t xml:space="preserve"> </w:t>
      </w:r>
      <w:r>
        <w:t xml:space="preserve">mwhvwohyfy</w:t>
      </w:r>
      <w:r>
        <w:t xml:space="preserve"> </w:t>
      </w:r>
      <w:r>
        <w:t xml:space="preserve">is segmented into five key stages:</w:t>
      </w:r>
    </w:p>
    <w:p>
      <w:pPr>
        <w:numPr>
          <w:ilvl w:val="0"/>
          <w:numId w:val="1003"/>
        </w:numPr>
        <w:pStyle w:val="Compact"/>
      </w:pPr>
      <w:r>
        <w:t xml:space="preserve">Material Acquisition &amp; Production</w:t>
      </w:r>
    </w:p>
    <w:p>
      <w:pPr>
        <w:numPr>
          <w:ilvl w:val="0"/>
          <w:numId w:val="1003"/>
        </w:numPr>
        <w:pStyle w:val="Compact"/>
      </w:pPr>
      <w:r>
        <w:t xml:space="preserve">Manufacturing</w:t>
      </w:r>
    </w:p>
    <w:p>
      <w:pPr>
        <w:numPr>
          <w:ilvl w:val="0"/>
          <w:numId w:val="1003"/>
        </w:numPr>
        <w:pStyle w:val="Compact"/>
      </w:pPr>
      <w:r>
        <w:t xml:space="preserve">Transportation &amp; Distribution</w:t>
      </w:r>
    </w:p>
    <w:p>
      <w:pPr>
        <w:numPr>
          <w:ilvl w:val="0"/>
          <w:numId w:val="1003"/>
        </w:numPr>
        <w:pStyle w:val="Compact"/>
      </w:pPr>
      <w:r>
        <w:t xml:space="preserve">Use Phase</w:t>
      </w:r>
    </w:p>
    <w:p>
      <w:pPr>
        <w:numPr>
          <w:ilvl w:val="0"/>
          <w:numId w:val="1003"/>
        </w:numPr>
        <w:pStyle w:val="Compact"/>
      </w:pPr>
      <w:r>
        <w:t xml:space="preserve">End-of-Life</w:t>
      </w:r>
    </w:p>
    <w:bookmarkStart w:id="25" w:name="Xe99006bcf31edd5e26048b8c96369db120f9c4b"/>
    <w:p>
      <w:pPr>
        <w:pStyle w:val="Heading4"/>
      </w:pPr>
      <w:r>
        <w:t xml:space="preserve">Detailed Bill of Materials (BOM) Data (Placeholder `jeposzyu` interpreted as follows):</w:t>
      </w:r>
    </w:p>
    <w:p>
      <w:pPr>
        <w:pStyle w:val="FirstParagraph"/>
      </w:pPr>
      <w:r>
        <w:t xml:space="preserve">The provided Detailed Bill of Materials (BOM) for `jeposzyu` has been interpreted as the following component list for the product</w:t>
      </w:r>
      <w:r>
        <w:t xml:space="preserve"> </w:t>
      </w:r>
      <w:r>
        <w:t xml:space="preserve">mwhvwohyfy</w:t>
      </w:r>
      <w:r>
        <w:t xml:space="preserve">. The \'Total Carbon\' values represent the pre-calculated emissions for the given quantity of material, likely including raw material extraction and processing. These values are directly used in the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CO₂e/unit)</w:t>
            </w:r>
          </w:p>
        </w:tc>
        <w:tc>
          <w:tcPr/>
          <w:p>
            <w:pPr>
              <w:pStyle w:val="Compact"/>
              <w:jc w:val="left"/>
            </w:pPr>
            <w:r>
              <w:t xml:space="preserve">Total Carbon (kg CO₂e)</w:t>
            </w:r>
          </w:p>
        </w:tc>
      </w:tr>
      <w:tr>
        <w:tc>
          <w:tcPr/>
          <w:p>
            <w:pPr>
              <w:pStyle w:val="Compact"/>
              <w:jc w:val="left"/>
            </w:pPr>
            <w:r>
              <w:t xml:space="preserve">ID1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w:t>
            </w:r>
          </w:p>
        </w:tc>
      </w:tr>
      <w:tr>
        <w:tc>
          <w:tcPr/>
          <w:p>
            <w:pPr>
              <w:pStyle w:val="Compact"/>
              <w:jc w:val="left"/>
            </w:pPr>
            <w:r>
              <w:t xml:space="preserve">ID2</w:t>
            </w:r>
          </w:p>
        </w:tc>
        <w:tc>
          <w:tcPr/>
          <w:p>
            <w:pPr>
              <w:pStyle w:val="Compact"/>
              <w:jc w:val="left"/>
            </w:pPr>
            <w:r>
              <w:t xml:space="preserve">Recycled ABS Plastic</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ID3</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ID4</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Folding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w:t>
            </w:r>
          </w:p>
        </w:tc>
      </w:tr>
    </w:tbl>
    <w:p>
      <w:pPr>
        <w:pStyle w:val="BodyText"/>
      </w:pPr>
      <w:r>
        <w:t xml:space="preserve">Total Product Weight:</w:t>
      </w:r>
      <w:r>
        <w:t xml:space="preserve"> </w:t>
      </w:r>
      <w:r>
        <w:t xml:space="preserve">1.1 kg (sum of Qty from BOM)</w:t>
      </w:r>
    </w:p>
    <w:bookmarkEnd w:id="25"/>
    <w:bookmarkStart w:id="26" w:name="energy-inputs-for-production"/>
    <w:p>
      <w:pPr>
        <w:pStyle w:val="Heading4"/>
      </w:pPr>
      <w:r>
        <w:t xml:space="preserve">Energy Inputs for Production:</w:t>
      </w:r>
    </w:p>
    <w:p>
      <w:pPr>
        <w:numPr>
          <w:ilvl w:val="0"/>
          <w:numId w:val="1004"/>
        </w:numPr>
        <w:pStyle w:val="Compact"/>
      </w:pPr>
      <w:r>
        <w:t xml:space="preserve">Renewable Energy Usage:</w:t>
      </w:r>
      <w:r>
        <w:t xml:space="preserve"> </w:t>
      </w:r>
      <w:r>
        <w:t xml:space="preserve">vsxzweytnp</w:t>
      </w:r>
      <w:r>
        <w:t xml:space="preserve"> </w:t>
      </w:r>
      <w:r>
        <w:t xml:space="preserve">(interpreted as 70% renewable energy procurement for manufacturing).</w:t>
      </w:r>
    </w:p>
    <w:p>
      <w:pPr>
        <w:numPr>
          <w:ilvl w:val="0"/>
          <w:numId w:val="1004"/>
        </w:numPr>
        <w:pStyle w:val="Compact"/>
      </w:pPr>
      <w:r>
        <w:t xml:space="preserve">Energy Intensity (kWh/unit):</w:t>
      </w:r>
      <w:r>
        <w:t xml:space="preserve"> </w:t>
      </w:r>
      <w:r>
        <w:t xml:space="preserve">gmdzzjfyoe</w:t>
      </w:r>
      <w:r>
        <w:t xml:space="preserve"> </w:t>
      </w:r>
      <w:r>
        <w:t xml:space="preserve">(interpreted as 5 kWh/unit for manufacturing).</w:t>
      </w:r>
    </w:p>
    <w:p>
      <w:pPr>
        <w:numPr>
          <w:ilvl w:val="0"/>
          <w:numId w:val="1004"/>
        </w:numPr>
        <w:pStyle w:val="Compact"/>
      </w:pPr>
      <w:r>
        <w:t xml:space="preserve">Electricity Grid Mix (China, 2023 average):</w:t>
      </w:r>
      <w:r>
        <w:t xml:space="preserve"> </w:t>
      </w:r>
      <w:r>
        <w:t xml:space="preserve">0.6205 kg CO₂e/kWh.</w:t>
      </w:r>
    </w:p>
    <w:bookmarkEnd w:id="26"/>
    <w:bookmarkStart w:id="27" w:name="logistics-data"/>
    <w:p>
      <w:pPr>
        <w:pStyle w:val="Heading4"/>
      </w:pPr>
      <w:r>
        <w:t xml:space="preserve">Logistics Data:</w:t>
      </w:r>
    </w:p>
    <w:p>
      <w:pPr>
        <w:numPr>
          <w:ilvl w:val="0"/>
          <w:numId w:val="1005"/>
        </w:numPr>
        <w:pStyle w:val="Compact"/>
      </w:pPr>
      <w:r>
        <w:t xml:space="preserve">Primary Transport Mode (Factory to Distribution Hub):</w:t>
      </w:r>
      <w:r>
        <w:t xml:space="preserve"> </w:t>
      </w:r>
      <w:r>
        <w:t xml:space="preserve">Select Mode</w:t>
      </w:r>
      <w:r>
        <w:t xml:space="preserve"> </w:t>
      </w:r>
      <w:r>
        <w:t xml:space="preserve">(interpreted as Ocean Freight, Container Ship).</w:t>
      </w:r>
    </w:p>
    <w:p>
      <w:pPr>
        <w:numPr>
          <w:ilvl w:val="0"/>
          <w:numId w:val="1005"/>
        </w:numPr>
        <w:pStyle w:val="Compact"/>
      </w:pPr>
      <w:r>
        <w:t xml:space="preserve">Primary Transport Distance:</w:t>
      </w:r>
      <w:r>
        <w:t xml:space="preserve"> </w:t>
      </w:r>
      <w:r>
        <w:t xml:space="preserve">infpikskzq</w:t>
      </w:r>
      <w:r>
        <w:t xml:space="preserve"> </w:t>
      </w:r>
      <w:r>
        <w:t xml:space="preserve">(interpreted as 10,000 km, representing China to Europe).</w:t>
      </w:r>
    </w:p>
    <w:p>
      <w:pPr>
        <w:numPr>
          <w:ilvl w:val="0"/>
          <w:numId w:val="1005"/>
        </w:numPr>
        <w:pStyle w:val="Compact"/>
      </w:pPr>
      <w:r>
        <w:t xml:space="preserve">Last-Mile Delivery Channel:</w:t>
      </w:r>
      <w:r>
        <w:t xml:space="preserve"> </w:t>
      </w:r>
      <w:r>
        <w:t xml:space="preserve">Delivery Type</w:t>
      </w:r>
      <w:r>
        <w:t xml:space="preserve"> </w:t>
      </w:r>
      <w:r>
        <w:t xml:space="preserve">(interpreted as Road Freight, Heavy Goods Vehicle).</w:t>
      </w:r>
    </w:p>
    <w:p>
      <w:pPr>
        <w:numPr>
          <w:ilvl w:val="0"/>
          <w:numId w:val="1005"/>
        </w:numPr>
        <w:pStyle w:val="Compact"/>
      </w:pPr>
      <w:r>
        <w:t xml:space="preserve">Last-Mile Distance (Assumed):</w:t>
      </w:r>
      <w:r>
        <w:t xml:space="preserve"> </w:t>
      </w:r>
      <w:r>
        <w:t xml:space="preserve">50 km.</w:t>
      </w:r>
    </w:p>
    <w:p>
      <w:pPr>
        <w:numPr>
          <w:ilvl w:val="0"/>
          <w:numId w:val="1005"/>
        </w:numPr>
        <w:pStyle w:val="Compact"/>
      </w:pPr>
      <w:r>
        <w:t xml:space="preserve">Ocean Freight Emission Factor:</w:t>
      </w:r>
      <w:r>
        <w:t xml:space="preserve"> </w:t>
      </w:r>
      <w:r>
        <w:t xml:space="preserve">0.016 kg CO₂e/tkm.</w:t>
      </w:r>
    </w:p>
    <w:p>
      <w:pPr>
        <w:numPr>
          <w:ilvl w:val="0"/>
          <w:numId w:val="1005"/>
        </w:numPr>
        <w:pStyle w:val="Compact"/>
      </w:pPr>
      <w:r>
        <w:t xml:space="preserve">Road Freight Emission Factor:</w:t>
      </w:r>
      <w:r>
        <w:t xml:space="preserve"> </w:t>
      </w:r>
      <w:r>
        <w:t xml:space="preserve">0.10 kg CO₂e/tkm.</w:t>
      </w:r>
    </w:p>
    <w:bookmarkEnd w:id="27"/>
    <w:bookmarkStart w:id="28" w:name="use-phase-data"/>
    <w:p>
      <w:pPr>
        <w:pStyle w:val="Heading4"/>
      </w:pPr>
      <w:r>
        <w:t xml:space="preserve">Use Phase Data:</w:t>
      </w:r>
    </w:p>
    <w:p>
      <w:pPr>
        <w:numPr>
          <w:ilvl w:val="0"/>
          <w:numId w:val="1006"/>
        </w:numPr>
        <w:pStyle w:val="Compact"/>
      </w:pPr>
      <w:r>
        <w:t xml:space="preserve">Product Lifespan:</w:t>
      </w:r>
      <w:r>
        <w:t xml:space="preserve"> </w:t>
      </w:r>
      <w:r>
        <w:t xml:space="preserve">utwrgmkqxh</w:t>
      </w:r>
      <w:r>
        <w:t xml:space="preserve"> </w:t>
      </w:r>
      <w:r>
        <w:t xml:space="preserve">(interpreted as 5 years).</w:t>
      </w:r>
    </w:p>
    <w:p>
      <w:pPr>
        <w:numPr>
          <w:ilvl w:val="0"/>
          <w:numId w:val="1006"/>
        </w:numPr>
        <w:pStyle w:val="Compact"/>
      </w:pPr>
      <w:r>
        <w:t xml:space="preserve">Energy Consumption in Use:</w:t>
      </w:r>
      <w:r>
        <w:t xml:space="preserve"> </w:t>
      </w:r>
      <w:r>
        <w:t xml:space="preserve">qleznkwwqt</w:t>
      </w:r>
      <w:r>
        <w:t xml:space="preserve"> </w:t>
      </w:r>
      <w:r>
        <w:t xml:space="preserve">(interpreted as 10 kWh/year).</w:t>
      </w:r>
    </w:p>
    <w:p>
      <w:pPr>
        <w:numPr>
          <w:ilvl w:val="0"/>
          <w:numId w:val="1006"/>
        </w:numPr>
        <w:pStyle w:val="Compact"/>
      </w:pPr>
      <w:r>
        <w:t xml:space="preserve">Electricity Grid Mix (Europe, 2024 average):</w:t>
      </w:r>
      <w:r>
        <w:t xml:space="preserve"> </w:t>
      </w:r>
      <w:r>
        <w:t xml:space="preserve">0.181 kg CO₂e/kWh.</w:t>
      </w:r>
    </w:p>
    <w:bookmarkEnd w:id="28"/>
    <w:bookmarkStart w:id="29" w:name="end-of-life-eol-data"/>
    <w:p>
      <w:pPr>
        <w:pStyle w:val="Heading4"/>
      </w:pPr>
      <w:r>
        <w:t xml:space="preserve">End-of-Life (EoL) Data:</w:t>
      </w:r>
    </w:p>
    <w:p>
      <w:pPr>
        <w:numPr>
          <w:ilvl w:val="0"/>
          <w:numId w:val="1007"/>
        </w:numPr>
        <w:pStyle w:val="Compact"/>
      </w:pPr>
      <w:r>
        <w:t xml:space="preserve">Recyclability Percentage:</w:t>
      </w:r>
      <w:r>
        <w:t xml:space="preserve"> </w:t>
      </w:r>
      <w:r>
        <w:t xml:space="preserve">fukhivxgqj</w:t>
      </w:r>
      <w:r>
        <w:t xml:space="preserve"> </w:t>
      </w:r>
      <w:r>
        <w:t xml:space="preserve">(interpreted as 80%).</w:t>
      </w:r>
    </w:p>
    <w:p>
      <w:pPr>
        <w:numPr>
          <w:ilvl w:val="0"/>
          <w:numId w:val="1007"/>
        </w:numPr>
        <w:pStyle w:val="Compact"/>
      </w:pPr>
      <w:r>
        <w:t xml:space="preserve">Circular/Take-back Programs:</w:t>
      </w:r>
      <w:r>
        <w:t xml:space="preserve"> </w:t>
      </w:r>
      <w:r>
        <w:t xml:space="preserve">hqongfsqvy</w:t>
      </w:r>
      <w:r>
        <w:t xml:space="preserve"> </w:t>
      </w:r>
      <w:r>
        <w:t xml:space="preserve">(interpreted as "Yes, active take-back program reducing landfill.").</w:t>
      </w:r>
    </w:p>
    <w:p>
      <w:pPr>
        <w:numPr>
          <w:ilvl w:val="0"/>
          <w:numId w:val="1007"/>
        </w:numPr>
        <w:pStyle w:val="Compact"/>
      </w:pPr>
      <w:r>
        <w:t xml:space="preserve">Landfill Emission Factor:</w:t>
      </w:r>
      <w:r>
        <w:t xml:space="preserve"> </w:t>
      </w:r>
      <w:r>
        <w:t xml:space="preserve">0.033 kg CO₂e/kg.</w:t>
      </w:r>
    </w:p>
    <w:p>
      <w:pPr>
        <w:numPr>
          <w:ilvl w:val="0"/>
          <w:numId w:val="1007"/>
        </w:numPr>
        <w:pStyle w:val="Compact"/>
      </w:pPr>
      <w:r>
        <w:t xml:space="preserve">Recycling Credit Factor (Avoided Virgin Material):</w:t>
      </w:r>
      <w:r>
        <w:t xml:space="preserve"> </w:t>
      </w:r>
      <w:r>
        <w:t xml:space="preserve">-1.0 kg CO₂e/kg.</w:t>
      </w:r>
    </w:p>
    <w:p>
      <w:r>
        <w:pict>
          <v:rect style="width:0;height:1.5pt" o:hralign="center" o:hrstd="t" o:hr="t"/>
        </w:pict>
      </w:r>
    </w:p>
    <w:bookmarkEnd w:id="29"/>
    <w:bookmarkEnd w:id="30"/>
    <w:bookmarkEnd w:id="31"/>
    <w:bookmarkStart w:id="38" w:name="X4eff67be3228dc1408ba045ea13b0013a3b5f0b"/>
    <w:p>
      <w:pPr>
        <w:pStyle w:val="Heading2"/>
      </w:pPr>
      <w:r>
        <w:t xml:space="preserve">3. Emissions Calculation and GHG Protocol Categorization</w:t>
      </w:r>
    </w:p>
    <w:bookmarkStart w:id="32" w:name="Xf70fb46e9dc23c5e82e71de73be27d7501a7555"/>
    <w:p>
      <w:pPr>
        <w:pStyle w:val="Heading3"/>
      </w:pPr>
      <w:r>
        <w:t xml:space="preserve">3.1. Material Acquisition &amp; Production (Scope 3 - Category 1: Purchased Goods and Services)</w:t>
      </w:r>
    </w:p>
    <w:p>
      <w:pPr>
        <w:pStyle w:val="FirstParagraph"/>
      </w:pPr>
      <w:r>
        <w:t xml:space="preserve">This stage includes emissions from the extraction of raw materials, their processing, and manufacturing into components. The \'Total Carbon\' values from the provided BOM are directly used to represent these emissions.</w:t>
      </w:r>
    </w:p>
    <w:p>
      <w:pPr>
        <w:numPr>
          <w:ilvl w:val="0"/>
          <w:numId w:val="1008"/>
        </w:numPr>
        <w:pStyle w:val="Compact"/>
      </w:pPr>
      <w:r>
        <w:t xml:space="preserve">Total Material Emissions: 4.0 kg (Aluminium) + 0.75 kg (Plastic) + 1.5 kg (Electronics) + 0.2 kg (Cardboard) =</w:t>
      </w:r>
      <w:r>
        <w:t xml:space="preserve"> </w:t>
      </w:r>
      <w:r>
        <w:t xml:space="preserve">6.45 kg CO₂e</w:t>
      </w:r>
      <w:r>
        <w:t xml:space="preserve">.</w:t>
      </w:r>
    </w:p>
    <w:bookmarkEnd w:id="32"/>
    <w:bookmarkStart w:id="33" w:name="X7cd6c4ad822be9527312ea6d1299e8b2afe97ff"/>
    <w:p>
      <w:pPr>
        <w:pStyle w:val="Heading3"/>
      </w:pPr>
      <w:r>
        <w:t xml:space="preserve">3.2. Manufacturing (Scope 2: Purchased Electricity)</w:t>
      </w:r>
    </w:p>
    <w:p>
      <w:pPr>
        <w:pStyle w:val="FirstParagraph"/>
      </w:pPr>
      <w:r>
        <w:t xml:space="preserve">Emissions from the manufacturing processes at the production facility in China, primarily from purchased electricity. Direct process emissions (Scope 1) are considered negligible for this product\'s manufacturing type or embedded within the material emission factors.</w:t>
      </w:r>
    </w:p>
    <w:p>
      <w:pPr>
        <w:numPr>
          <w:ilvl w:val="0"/>
          <w:numId w:val="1009"/>
        </w:numPr>
        <w:pStyle w:val="Compact"/>
      </w:pPr>
      <w:r>
        <w:t xml:space="preserve">Total Energy Intensity: 5 kWh/unit</w:t>
      </w:r>
    </w:p>
    <w:p>
      <w:pPr>
        <w:numPr>
          <w:ilvl w:val="0"/>
          <w:numId w:val="1009"/>
        </w:numPr>
        <w:pStyle w:val="Compact"/>
      </w:pPr>
      <w:r>
        <w:t xml:space="preserve">Non-renewable Electricity: 5 kWh/unit * (1 - 70% renewable usage) = 1.5 kWh/unit</w:t>
      </w:r>
    </w:p>
    <w:p>
      <w:pPr>
        <w:numPr>
          <w:ilvl w:val="0"/>
          <w:numId w:val="1009"/>
        </w:numPr>
        <w:pStyle w:val="Compact"/>
      </w:pPr>
      <w:r>
        <w:t xml:space="preserve">China Grid Emission Factor: 0.6205 kg CO₂e/kWh</w:t>
      </w:r>
    </w:p>
    <w:p>
      <w:pPr>
        <w:numPr>
          <w:ilvl w:val="0"/>
          <w:numId w:val="1009"/>
        </w:numPr>
        <w:pStyle w:val="Compact"/>
      </w:pPr>
      <w:r>
        <w:t xml:space="preserve">Manufacturing Emissions: 1.5 kWh/unit * 0.6205 kg CO₂e/kWh =</w:t>
      </w:r>
      <w:r>
        <w:t xml:space="preserve"> </w:t>
      </w:r>
      <w:r>
        <w:t xml:space="preserve">0.93 kg CO₂e</w:t>
      </w:r>
      <w:r>
        <w:t xml:space="preserve">.</w:t>
      </w:r>
    </w:p>
    <w:bookmarkEnd w:id="33"/>
    <w:bookmarkStart w:id="34" w:name="X81ef8ceccc89a8d4e8d1f4f274121867d9be594"/>
    <w:p>
      <w:pPr>
        <w:pStyle w:val="Heading3"/>
      </w:pPr>
      <w:r>
        <w:t xml:space="preserve">3.3. Transportation &amp; Distribution (Scope 3 - Categories 4 &amp; 9: Upstream and Downstream Transportation and Distribution)</w:t>
      </w:r>
    </w:p>
    <w:p>
      <w:pPr>
        <w:pStyle w:val="FirstParagraph"/>
      </w:pPr>
      <w:r>
        <w:t xml:space="preserve">This covers the transportation of the finished product from the factory gate to the customer, including international shipping and last-mile delivery.</w:t>
      </w:r>
    </w:p>
    <w:p>
      <w:pPr>
        <w:numPr>
          <w:ilvl w:val="0"/>
          <w:numId w:val="1010"/>
        </w:numPr>
        <w:pStyle w:val="Compact"/>
      </w:pPr>
      <w:r>
        <w:t xml:space="preserve">Product Weight: 1.1 kg (0.0011 tonnes)</w:t>
      </w:r>
    </w:p>
    <w:p>
      <w:pPr>
        <w:numPr>
          <w:ilvl w:val="0"/>
          <w:numId w:val="1010"/>
        </w:numPr>
        <w:pStyle w:val="Compact"/>
      </w:pPr>
      <w:r>
        <w:t xml:space="preserve">Ocean Freight (China to Europe):</w:t>
      </w:r>
    </w:p>
    <w:p>
      <w:pPr>
        <w:numPr>
          <w:ilvl w:val="1"/>
          <w:numId w:val="1011"/>
        </w:numPr>
        <w:pStyle w:val="Compact"/>
      </w:pPr>
      <w:r>
        <w:t xml:space="preserve">Distance: 10,000 km</w:t>
      </w:r>
    </w:p>
    <w:p>
      <w:pPr>
        <w:numPr>
          <w:ilvl w:val="1"/>
          <w:numId w:val="1011"/>
        </w:numPr>
        <w:pStyle w:val="Compact"/>
      </w:pPr>
      <w:r>
        <w:t xml:space="preserve">Emission Factor: 0.016 kg CO₂e/tkm</w:t>
      </w:r>
    </w:p>
    <w:p>
      <w:pPr>
        <w:numPr>
          <w:ilvl w:val="1"/>
          <w:numId w:val="1011"/>
        </w:numPr>
        <w:pStyle w:val="Compact"/>
      </w:pPr>
      <w:r>
        <w:t xml:space="preserve">Emissions: 0.0011 t * 10,000 km * 0.016 kg CO₂e/tkm =</w:t>
      </w:r>
      <w:r>
        <w:t xml:space="preserve"> </w:t>
      </w:r>
      <w:r>
        <w:t xml:space="preserve">0.176 kg CO₂e</w:t>
      </w:r>
      <w:r>
        <w:t xml:space="preserve">.</w:t>
      </w:r>
    </w:p>
    <w:p>
      <w:pPr>
        <w:numPr>
          <w:ilvl w:val="0"/>
          <w:numId w:val="1010"/>
        </w:numPr>
        <w:pStyle w:val="Compact"/>
      </w:pPr>
      <w:r>
        <w:t xml:space="preserve">Last-Mile Delivery (Road Freight):</w:t>
      </w:r>
    </w:p>
    <w:p>
      <w:pPr>
        <w:numPr>
          <w:ilvl w:val="1"/>
          <w:numId w:val="1012"/>
        </w:numPr>
        <w:pStyle w:val="Compact"/>
      </w:pPr>
      <w:r>
        <w:t xml:space="preserve">Distance: 50 km (assumed)</w:t>
      </w:r>
    </w:p>
    <w:p>
      <w:pPr>
        <w:numPr>
          <w:ilvl w:val="1"/>
          <w:numId w:val="1012"/>
        </w:numPr>
        <w:pStyle w:val="Compact"/>
      </w:pPr>
      <w:r>
        <w:t xml:space="preserve">Emission Factor: 0.10 kg CO₂e/tkm</w:t>
      </w:r>
    </w:p>
    <w:p>
      <w:pPr>
        <w:numPr>
          <w:ilvl w:val="1"/>
          <w:numId w:val="1012"/>
        </w:numPr>
        <w:pStyle w:val="Compact"/>
      </w:pPr>
      <w:r>
        <w:t xml:space="preserve">Emissions: 0.0011 t * 50 km * 0.10 kg CO₂e/tkm =</w:t>
      </w:r>
      <w:r>
        <w:t xml:space="preserve"> </w:t>
      </w:r>
      <w:r>
        <w:t xml:space="preserve">0.006 kg CO₂e</w:t>
      </w:r>
      <w:r>
        <w:t xml:space="preserve">.</w:t>
      </w:r>
    </w:p>
    <w:p>
      <w:pPr>
        <w:numPr>
          <w:ilvl w:val="0"/>
          <w:numId w:val="1010"/>
        </w:numPr>
        <w:pStyle w:val="Compact"/>
      </w:pPr>
      <w:r>
        <w:t xml:space="preserve">Total Transport Emissions: 0.176 + 0.006 =</w:t>
      </w:r>
      <w:r>
        <w:t xml:space="preserve"> </w:t>
      </w:r>
      <w:r>
        <w:t xml:space="preserve">0.182 kg CO₂e</w:t>
      </w:r>
      <w:r>
        <w:t xml:space="preserve">.</w:t>
      </w:r>
    </w:p>
    <w:bookmarkEnd w:id="34"/>
    <w:bookmarkStart w:id="35" w:name="X687445901a9235e23446a36286990b6b14efa53"/>
    <w:p>
      <w:pPr>
        <w:pStyle w:val="Heading3"/>
      </w:pPr>
      <w:r>
        <w:t xml:space="preserve">3.4. Use Phase (Scope 3 - Category 11: Use of Sold Products)</w:t>
      </w:r>
    </w:p>
    <w:p>
      <w:pPr>
        <w:pStyle w:val="FirstParagraph"/>
      </w:pPr>
      <w:r>
        <w:t xml:space="preserve">This stage accounts for the electricity consumed during the product\'s operational lifetime, assuming usage in Europe.</w:t>
      </w:r>
    </w:p>
    <w:p>
      <w:pPr>
        <w:numPr>
          <w:ilvl w:val="0"/>
          <w:numId w:val="1013"/>
        </w:numPr>
        <w:pStyle w:val="Compact"/>
      </w:pPr>
      <w:r>
        <w:t xml:space="preserve">Product Lifespan: 5 years</w:t>
      </w:r>
    </w:p>
    <w:p>
      <w:pPr>
        <w:numPr>
          <w:ilvl w:val="0"/>
          <w:numId w:val="1013"/>
        </w:numPr>
        <w:pStyle w:val="Compact"/>
      </w:pPr>
      <w:r>
        <w:t xml:space="preserve">Energy Consumption: 10 kWh/year</w:t>
      </w:r>
    </w:p>
    <w:p>
      <w:pPr>
        <w:numPr>
          <w:ilvl w:val="0"/>
          <w:numId w:val="1013"/>
        </w:numPr>
        <w:pStyle w:val="Compact"/>
      </w:pPr>
      <w:r>
        <w:t xml:space="preserve">Total Energy in Use: 10 kWh/year * 5 years = 50 kWh</w:t>
      </w:r>
    </w:p>
    <w:p>
      <w:pPr>
        <w:numPr>
          <w:ilvl w:val="0"/>
          <w:numId w:val="1013"/>
        </w:numPr>
        <w:pStyle w:val="Compact"/>
      </w:pPr>
      <w:r>
        <w:t xml:space="preserve">Europe Grid Emission Factor (2024 average): 0.181 kg CO₂e/kWh</w:t>
      </w:r>
    </w:p>
    <w:p>
      <w:pPr>
        <w:numPr>
          <w:ilvl w:val="0"/>
          <w:numId w:val="1013"/>
        </w:numPr>
        <w:pStyle w:val="Compact"/>
      </w:pPr>
      <w:r>
        <w:t xml:space="preserve">Use Phase Emissions: 50 kWh * 0.181 kg CO₂e/kWh =</w:t>
      </w:r>
      <w:r>
        <w:t xml:space="preserve"> </w:t>
      </w:r>
      <w:r>
        <w:t xml:space="preserve">9.05 kg CO₂e</w:t>
      </w:r>
      <w:r>
        <w:t xml:space="preserve">.</w:t>
      </w:r>
    </w:p>
    <w:bookmarkEnd w:id="35"/>
    <w:bookmarkStart w:id="36" w:name="X771af2267ebd1370d4d978f60d6a0e9044c8834"/>
    <w:p>
      <w:pPr>
        <w:pStyle w:val="Heading3"/>
      </w:pPr>
      <w:r>
        <w:t xml:space="preserve">3.5. End-of-Life (EoL) (Scope 3 - Category 12: End-of-Life Treatment of Sold Products)</w:t>
      </w:r>
    </w:p>
    <w:p>
      <w:pPr>
        <w:pStyle w:val="FirstParagraph"/>
      </w:pPr>
      <w:r>
        <w:t xml:space="preserve">Emissions and credits associated with the disposal and recycling of the product at the end of its life.</w:t>
      </w:r>
    </w:p>
    <w:p>
      <w:pPr>
        <w:numPr>
          <w:ilvl w:val="0"/>
          <w:numId w:val="1014"/>
        </w:numPr>
        <w:pStyle w:val="Compact"/>
      </w:pPr>
      <w:r>
        <w:t xml:space="preserve">Product Weight: 1.1 kg</w:t>
      </w:r>
    </w:p>
    <w:p>
      <w:pPr>
        <w:numPr>
          <w:ilvl w:val="0"/>
          <w:numId w:val="1014"/>
        </w:numPr>
        <w:pStyle w:val="Compact"/>
      </w:pPr>
      <w:r>
        <w:t xml:space="preserve">Recyclability Percentage: 80%</w:t>
      </w:r>
    </w:p>
    <w:p>
      <w:pPr>
        <w:numPr>
          <w:ilvl w:val="0"/>
          <w:numId w:val="1014"/>
        </w:numPr>
        <w:pStyle w:val="Compact"/>
      </w:pPr>
      <w:r>
        <w:t xml:space="preserve">Portion Recycled: 1.1 kg * 0.80 = 0.88 kg</w:t>
      </w:r>
    </w:p>
    <w:p>
      <w:pPr>
        <w:numPr>
          <w:ilvl w:val="0"/>
          <w:numId w:val="1014"/>
        </w:numPr>
        <w:pStyle w:val="Compact"/>
      </w:pPr>
      <w:r>
        <w:t xml:space="preserve">Portion Landfilled: 1.1 kg * (1 - 0.80) = 0.22 kg</w:t>
      </w:r>
    </w:p>
    <w:p>
      <w:pPr>
        <w:numPr>
          <w:ilvl w:val="0"/>
          <w:numId w:val="1014"/>
        </w:numPr>
        <w:pStyle w:val="Compact"/>
      </w:pPr>
      <w:r>
        <w:t xml:space="preserve">Landfill Emissions: 0.22 kg * 0.033 kg CO₂e/kg =</w:t>
      </w:r>
      <w:r>
        <w:t xml:space="preserve"> </w:t>
      </w:r>
      <w:r>
        <w:t xml:space="preserve">0.007 kg CO₂e</w:t>
      </w:r>
      <w:r>
        <w:t xml:space="preserve">.</w:t>
      </w:r>
    </w:p>
    <w:p>
      <w:pPr>
        <w:numPr>
          <w:ilvl w:val="0"/>
          <w:numId w:val="1014"/>
        </w:numPr>
        <w:pStyle w:val="Compact"/>
      </w:pPr>
      <w:r>
        <w:t xml:space="preserve">Recycling Credits (due to take-back programs and avoided virgin material): 0.88 kg * -1.0 kg CO₂e/kg =</w:t>
      </w:r>
      <w:r>
        <w:t xml:space="preserve"> </w:t>
      </w:r>
      <w:r>
        <w:t xml:space="preserve">-0.880 kg CO₂e</w:t>
      </w:r>
      <w:r>
        <w:t xml:space="preserve">.</w:t>
      </w:r>
    </w:p>
    <w:p>
      <w:pPr>
        <w:numPr>
          <w:ilvl w:val="0"/>
          <w:numId w:val="1014"/>
        </w:numPr>
        <w:pStyle w:val="Compact"/>
      </w:pPr>
      <w:r>
        <w:t xml:space="preserve">Net EoL Emissions: 0.007 kg CO₂e - 0.880 kg CO₂e =</w:t>
      </w:r>
      <w:r>
        <w:t xml:space="preserve"> </w:t>
      </w:r>
      <w:r>
        <w:t xml:space="preserve">-0.873 kg CO₂e</w:t>
      </w:r>
      <w:r>
        <w:t xml:space="preserve">.</w:t>
      </w:r>
    </w:p>
    <w:bookmarkEnd w:id="36"/>
    <w:bookmarkStart w:id="37" w:name="total-product-carbon-footprint-summary"/>
    <w:p>
      <w:pPr>
        <w:pStyle w:val="Heading3"/>
      </w:pPr>
      <w:r>
        <w:t xml:space="preserve">3.6. Total Product Carbon Footprint Summary</w:t>
      </w:r>
    </w:p>
    <w:p>
      <w:pPr>
        <w:pStyle w:val="FirstParagraph"/>
      </w:pPr>
      <w:r>
        <w:t xml:space="preserve">The total Product Carbon Footprint for one functional unit of</w:t>
      </w:r>
      <w:r>
        <w:t xml:space="preserve"> </w:t>
      </w:r>
      <w:r>
        <w:t xml:space="preserve">mwhvwohyfy</w:t>
      </w:r>
      <w:r>
        <w:t xml:space="preserve"> </w:t>
      </w:r>
      <w:r>
        <w:t xml:space="preserve">is the sum of emissions from all lifecycle stages: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Protocol Category</w:t>
            </w:r>
          </w:p>
        </w:tc>
        <w:tc>
          <w:tcPr/>
          <w:p>
            <w:pPr>
              <w:pStyle w:val="Compact"/>
              <w:jc w:val="left"/>
            </w:pPr>
            <w:r>
              <w:t xml:space="preserve">Emissions (kg CO₂e)</w:t>
            </w:r>
          </w:p>
        </w:tc>
      </w:tr>
      <w:tr>
        <w:tc>
          <w:tcPr/>
          <w:p>
            <w:pPr>
              <w:pStyle w:val="Compact"/>
              <w:jc w:val="left"/>
            </w:pPr>
            <w:r>
              <w:t xml:space="preserve">Material Acquisition &amp; Production</w:t>
            </w:r>
          </w:p>
        </w:tc>
        <w:tc>
          <w:tcPr/>
          <w:p>
            <w:pPr>
              <w:pStyle w:val="Compact"/>
              <w:jc w:val="left"/>
            </w:pPr>
            <w:r>
              <w:t xml:space="preserve">Scope 3 (Category 1)</w:t>
            </w:r>
          </w:p>
        </w:tc>
        <w:tc>
          <w:tcPr/>
          <w:p>
            <w:pPr>
              <w:pStyle w:val="Compact"/>
              <w:jc w:val="left"/>
            </w:pPr>
            <w:r>
              <w:t xml:space="preserve">6.450</w:t>
            </w:r>
          </w:p>
        </w:tc>
      </w:tr>
      <w:tr>
        <w:tc>
          <w:tcPr/>
          <w:p>
            <w:pPr>
              <w:pStyle w:val="Compact"/>
              <w:jc w:val="left"/>
            </w:pPr>
            <w:r>
              <w:t xml:space="preserve">Manufacturing</w:t>
            </w:r>
          </w:p>
        </w:tc>
        <w:tc>
          <w:tcPr/>
          <w:p>
            <w:pPr>
              <w:pStyle w:val="Compact"/>
              <w:jc w:val="left"/>
            </w:pPr>
            <w:r>
              <w:t xml:space="preserve">Scope 2</w:t>
            </w:r>
          </w:p>
        </w:tc>
        <w:tc>
          <w:tcPr/>
          <w:p>
            <w:pPr>
              <w:pStyle w:val="Compact"/>
              <w:jc w:val="left"/>
            </w:pPr>
            <w:r>
              <w:t xml:space="preserve">0.931</w:t>
            </w:r>
          </w:p>
        </w:tc>
      </w:tr>
      <w:tr>
        <w:tc>
          <w:tcPr/>
          <w:p>
            <w:pPr>
              <w:pStyle w:val="Compact"/>
              <w:jc w:val="left"/>
            </w:pPr>
            <w:r>
              <w:t xml:space="preserve">Transportation &amp; Distribution</w:t>
            </w:r>
          </w:p>
        </w:tc>
        <w:tc>
          <w:tcPr/>
          <w:p>
            <w:pPr>
              <w:pStyle w:val="Compact"/>
              <w:jc w:val="left"/>
            </w:pPr>
            <w:r>
              <w:t xml:space="preserve">Scope 3 (Categories 4 &amp; 9)</w:t>
            </w:r>
          </w:p>
        </w:tc>
        <w:tc>
          <w:tcPr/>
          <w:p>
            <w:pPr>
              <w:pStyle w:val="Compact"/>
              <w:jc w:val="left"/>
            </w:pPr>
            <w:r>
              <w:t xml:space="preserve">0.182</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9.050</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-0.873</w:t>
            </w:r>
          </w:p>
        </w:tc>
      </w:tr>
      <w:tr>
        <w:tc>
          <w:tcPr/>
          <w:p>
            <w:pPr>
              <w:pStyle w:val="Compact"/>
              <w:jc w:val="left"/>
            </w:pPr>
            <w:r>
              <w:t xml:space="preserve">Total PCF</w:t>
            </w:r>
          </w:p>
        </w:tc>
        <w:tc>
          <w:tcPr/>
          <w:p>
            <w:pPr>
              <w:pStyle w:val="Compact"/>
            </w:pPr>
          </w:p>
        </w:tc>
        <w:tc>
          <w:tcPr/>
          <w:p>
            <w:pPr>
              <w:pStyle w:val="Compact"/>
              <w:jc w:val="left"/>
            </w:pPr>
            <w:r>
              <w:t xml:space="preserve">15.740</w:t>
            </w:r>
          </w:p>
        </w:tc>
      </w:tr>
    </w:tbl>
    <w:p>
      <w:pPr>
        <w:pStyle w:val="BodyText"/>
      </w:pPr>
      <w:r>
        <w:t xml:space="preserve">Total Product Carbon Footprint for mwhvwohyfy: 15.74 kg CO₂e per 1.0 unit.</w:t>
      </w:r>
    </w:p>
    <w:p>
      <w:r>
        <w:pict>
          <v:rect style="width:0;height:1.5pt" o:hralign="center" o:hrstd="t" o:hr="t"/>
        </w:pict>
      </w:r>
    </w:p>
    <w:bookmarkEnd w:id="37"/>
    <w:bookmarkEnd w:id="38"/>
    <w:bookmarkStart w:id="42" w:name="review-report-hotspots-and-reliability"/>
    <w:p>
      <w:pPr>
        <w:pStyle w:val="Heading2"/>
      </w:pPr>
      <w:r>
        <w:t xml:space="preserve">4. Review &amp; Report: Hotspots and Reliability</w:t>
      </w:r>
    </w:p>
    <w:bookmarkStart w:id="39" w:name="emission-hotspots"/>
    <w:p>
      <w:pPr>
        <w:pStyle w:val="Heading3"/>
      </w:pPr>
      <w:r>
        <w:t xml:space="preserve">4.1. Emission Hotspots</w:t>
      </w:r>
    </w:p>
    <w:p>
      <w:pPr>
        <w:pStyle w:val="FirstParagraph"/>
      </w:pPr>
      <w:r>
        <w:t xml:space="preserve">The analysis reveals the following major emission hotspots for</w:t>
      </w:r>
      <w:r>
        <w:t xml:space="preserve"> </w:t>
      </w:r>
      <w:r>
        <w:t xml:space="preserve">mwhvwohyfy</w:t>
      </w:r>
      <w:r>
        <w:t xml:space="preserve">:</w:t>
      </w:r>
    </w:p>
    <w:p>
      <w:pPr>
        <w:numPr>
          <w:ilvl w:val="0"/>
          <w:numId w:val="1015"/>
        </w:numPr>
        <w:pStyle w:val="Compact"/>
      </w:pPr>
      <w:r>
        <w:t xml:space="preserve">Use Phase (9.05 kg CO₂e):</w:t>
      </w:r>
      <w:r>
        <w:t xml:space="preserve"> </w:t>
      </w:r>
      <w:r>
        <w:t xml:space="preserve">This constitutes the largest portion of the PCF, primarily due to the energy consumption during the product\'s 5-year lifespan. This highlights the importance of energy-efficient design and promoting renewable energy sources for consumers.</w:t>
      </w:r>
    </w:p>
    <w:p>
      <w:pPr>
        <w:numPr>
          <w:ilvl w:val="0"/>
          <w:numId w:val="1015"/>
        </w:numPr>
        <w:pStyle w:val="Compact"/>
      </w:pPr>
      <w:r>
        <w:t xml:space="preserve">Material Acquisition &amp; Production (6.45 kg CO₂e):</w:t>
      </w:r>
      <w:r>
        <w:t xml:space="preserve"> </w:t>
      </w:r>
      <w:r>
        <w:t xml:space="preserve">The selection and processing of raw materials, particularly the Aluminium Casing and Electronic Components, are significant contributors. Sourcing lower-carbon materials and optimizing material usage can lead to substantial reductions.</w:t>
      </w:r>
    </w:p>
    <w:p>
      <w:pPr>
        <w:numPr>
          <w:ilvl w:val="0"/>
          <w:numId w:val="1015"/>
        </w:numPr>
        <w:pStyle w:val="Compact"/>
      </w:pPr>
      <w:r>
        <w:t xml:space="preserve">Manufacturing (0.93 kg CO₂e):</w:t>
      </w:r>
      <w:r>
        <w:t xml:space="preserve"> </w:t>
      </w:r>
      <w:r>
        <w:t xml:space="preserve">While smaller than the above, improving renewable energy procurement beyond 70% or investing in on-site renewable generation in China could further reduce this footprint.</w:t>
      </w:r>
    </w:p>
    <w:bookmarkEnd w:id="39"/>
    <w:bookmarkStart w:id="40" w:name="reliability-and-assumptions"/>
    <w:p>
      <w:pPr>
        <w:pStyle w:val="Heading3"/>
      </w:pPr>
      <w:r>
        <w:t xml:space="preserve">4.2. Reliability and Assumptions</w:t>
      </w:r>
    </w:p>
    <w:p>
      <w:pPr>
        <w:pStyle w:val="FirstParagraph"/>
      </w:pPr>
      <w:r>
        <w:t xml:space="preserve">The reliability of this PCF analysis is based on the following:</w:t>
      </w:r>
    </w:p>
    <w:p>
      <w:pPr>
        <w:numPr>
          <w:ilvl w:val="0"/>
          <w:numId w:val="1016"/>
        </w:numPr>
        <w:pStyle w:val="Compact"/>
      </w:pPr>
      <w:r>
        <w:t xml:space="preserve">GHG Protocol Adherence:</w:t>
      </w:r>
      <w:r>
        <w:t xml:space="preserve"> </w:t>
      </w:r>
      <w:r>
        <w:t xml:space="preserve">Strict application of the GHG Protocol Product Standard ensures a consistent and credible assessment.</w:t>
      </w:r>
    </w:p>
    <w:p>
      <w:pPr>
        <w:numPr>
          <w:ilvl w:val="0"/>
          <w:numId w:val="1016"/>
        </w:numPr>
        <w:pStyle w:val="Compact"/>
      </w:pPr>
      <w:r>
        <w:t xml:space="preserve">Scope 3 Coverage:</w:t>
      </w:r>
      <w:r>
        <w:t xml:space="preserve"> </w:t>
      </w:r>
      <w:r>
        <w:t xml:space="preserve">A comprehensive assessment covering key upstream and downstream Scope 3 categories ensures a high level of coverage (estimated &gt;95%).</w:t>
      </w:r>
    </w:p>
    <w:p>
      <w:pPr>
        <w:numPr>
          <w:ilvl w:val="0"/>
          <w:numId w:val="1016"/>
        </w:numPr>
        <w:pStyle w:val="Compact"/>
      </w:pPr>
      <w:r>
        <w:t xml:space="preserve">Specific Data:</w:t>
      </w:r>
      <w:r>
        <w:t xml:space="preserve"> </w:t>
      </w:r>
      <w:r>
        <w:t xml:space="preserve">The provided Detailed Bill of Materials, energy customization data, logistics data, and use phase/EoL scenarios have been directly incorporated, enhancing accuracy where available.</w:t>
      </w:r>
    </w:p>
    <w:p>
      <w:pPr>
        <w:numPr>
          <w:ilvl w:val="0"/>
          <w:numId w:val="1016"/>
        </w:numPr>
        <w:pStyle w:val="Compact"/>
      </w:pPr>
      <w:r>
        <w:t xml:space="preserve">Emission Factors:</w:t>
      </w:r>
      <w:r>
        <w:t xml:space="preserve"> </w:t>
      </w:r>
      <w:r>
        <w:t xml:space="preserve">Industry-standard and regionally representative emission factors (e.g., for electricity grids in China and Europe, and transport modes) have been used.</w:t>
      </w:r>
    </w:p>
    <w:p>
      <w:pPr>
        <w:numPr>
          <w:ilvl w:val="1"/>
          <w:numId w:val="1017"/>
        </w:numPr>
        <w:pStyle w:val="Compact"/>
      </w:pPr>
      <w:r>
        <w:t xml:space="preserve">It is important to note that the specific string values provided in the prompt (e.g., `jeposzyu`, `infpikskzq`, etc.) were interpreted and assigned representative numerical values or descriptions for the purpose of demonstrating the calculation methodology. In a real-world scenario, these would be precise, validated primary data points.</w:t>
      </w:r>
    </w:p>
    <w:p>
      <w:pPr>
        <w:numPr>
          <w:ilvl w:val="1"/>
          <w:numId w:val="1017"/>
        </w:numPr>
        <w:pStyle w:val="Compact"/>
      </w:pPr>
      <w:r>
        <w:t xml:space="preserve">The recycling credit applied assumes a displacement of virgin material, a common practice for reflecting circular economy benefits.</w:t>
      </w:r>
    </w:p>
    <w:p>
      <w:pPr>
        <w:numPr>
          <w:ilvl w:val="0"/>
          <w:numId w:val="1016"/>
        </w:numPr>
        <w:pStyle w:val="Compact"/>
      </w:pPr>
      <w:r>
        <w:t xml:space="preserve">LSR Standard Integration:</w:t>
      </w:r>
      <w:r>
        <w:t xml:space="preserve"> </w:t>
      </w:r>
      <w:r>
        <w:t xml:space="preserve">While detailed land-use data for components was not provided, the report acknowledges the upcoming 2026 Land Sector and Removals (LSR) Standard. Future analyses should integrate specific land-use change and biogenic carbon removal data, especially for agricultural or forestry-derived materials, once the accompanying guidance is fully published in Q2 2026 and robust data becomes available.</w:t>
      </w:r>
    </w:p>
    <w:bookmarkEnd w:id="40"/>
    <w:bookmarkStart w:id="41" w:name="recommendations-for-reduction"/>
    <w:p>
      <w:pPr>
        <w:pStyle w:val="Heading3"/>
      </w:pPr>
      <w:r>
        <w:t xml:space="preserve">4.3. Recommendations for Reduction</w:t>
      </w:r>
    </w:p>
    <w:p>
      <w:pPr>
        <w:numPr>
          <w:ilvl w:val="0"/>
          <w:numId w:val="1018"/>
        </w:numPr>
        <w:pStyle w:val="Compact"/>
      </w:pPr>
      <w:r>
        <w:t xml:space="preserve">Energy Efficiency in Use:</w:t>
      </w:r>
      <w:r>
        <w:t xml:space="preserve"> </w:t>
      </w:r>
      <w:r>
        <w:t xml:space="preserve">Focus on designing</w:t>
      </w:r>
      <w:r>
        <w:t xml:space="preserve"> </w:t>
      </w:r>
      <w:r>
        <w:t xml:space="preserve">mwhvwohyfy</w:t>
      </w:r>
      <w:r>
        <w:t xml:space="preserve"> </w:t>
      </w:r>
      <w:r>
        <w:t xml:space="preserve">for lower energy consumption during its lifespan.</w:t>
      </w:r>
    </w:p>
    <w:p>
      <w:pPr>
        <w:numPr>
          <w:ilvl w:val="0"/>
          <w:numId w:val="1018"/>
        </w:numPr>
        <w:pStyle w:val="Compact"/>
      </w:pPr>
      <w:r>
        <w:t xml:space="preserve">Renewable Energy Sourcing:</w:t>
      </w:r>
      <w:r>
        <w:t xml:space="preserve"> </w:t>
      </w:r>
      <w:r>
        <w:t xml:space="preserve">Increase the share of renewable electricity used in manufacturing operations in China.</w:t>
      </w:r>
    </w:p>
    <w:p>
      <w:pPr>
        <w:numPr>
          <w:ilvl w:val="0"/>
          <w:numId w:val="1018"/>
        </w:numPr>
        <w:pStyle w:val="Compact"/>
      </w:pPr>
      <w:r>
        <w:t xml:space="preserve">Sustainable Material Sourcing:</w:t>
      </w:r>
      <w:r>
        <w:t xml:space="preserve"> </w:t>
      </w:r>
      <w:r>
        <w:t xml:space="preserve">Investigate alternative materials with lower embodied carbon, focusing on high-impact components.</w:t>
      </w:r>
    </w:p>
    <w:p>
      <w:pPr>
        <w:numPr>
          <w:ilvl w:val="0"/>
          <w:numId w:val="1018"/>
        </w:numPr>
        <w:pStyle w:val="Compact"/>
      </w:pPr>
      <w:r>
        <w:t xml:space="preserve">Circular Economy Integration:</w:t>
      </w:r>
      <w:r>
        <w:t xml:space="preserve"> </w:t>
      </w:r>
      <w:r>
        <w:t xml:space="preserve">Continue and expand take-back and recycling programs, exploring design-for-disassembly to maximize material recovery.</w:t>
      </w:r>
    </w:p>
    <w:p>
      <w:pPr>
        <w:numPr>
          <w:ilvl w:val="0"/>
          <w:numId w:val="1018"/>
        </w:numPr>
        <w:pStyle w:val="Compact"/>
      </w:pPr>
      <w:r>
        <w:t xml:space="preserve">Optimized Logistics:</w:t>
      </w:r>
      <w:r>
        <w:t xml:space="preserve"> </w:t>
      </w:r>
      <w:r>
        <w:t xml:space="preserve">Explore more efficient transport modes or routes where feasible, especially for high-volume components or finished products.</w:t>
      </w:r>
    </w:p>
    <w:p>
      <w:r>
        <w:pict>
          <v:rect style="width:0;height:1.5pt" o:hralign="center" o:hrstd="t" o:hr="t"/>
        </w:pict>
      </w:r>
    </w:p>
    <w:p>
      <w:pPr>
        <w:pStyle w:val="FirstParagraph"/>
      </w:pPr>
      <w:r>
        <w:t xml:space="preserve">Confidential - Internal Use Only</w:t>
      </w:r>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mwhvwohyfy</dc:title>
  <dc:creator/>
  <dc:description>High-detail Product Carbon Footprint (PCF) analysis for mwhvwohyfy, adhering to GHG Protocol standards and 2026 requirements, conducted by wufhkenwyq, Senior Sustainability Consultant.</dc:description>
  <dc:language>en</dc:language>
  <cp:keywords/>
  <dcterms:created xsi:type="dcterms:W3CDTF">2026-07-15T07:28:30Z</dcterms:created>
  <dcterms:modified xsi:type="dcterms:W3CDTF">2026-07-15T07:28:30Z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