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mvzytysyfl</w:t>
      </w:r>
      <w:r>
        <w:t xml:space="preserve"> </w:t>
      </w:r>
      <w:r>
        <w:t xml:space="preserve">(Smart</w:t>
      </w:r>
      <w:r>
        <w:t xml:space="preserve"> </w:t>
      </w:r>
      <w:r>
        <w:t xml:space="preserve">IoT</w:t>
      </w:r>
      <w:r>
        <w:t xml:space="preserve"> </w:t>
      </w:r>
      <w:r>
        <w:t xml:space="preserve">Sensor)</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mvzytysyfl-smart-iot-sensor"/>
    <w:p>
      <w:pPr>
        <w:pStyle w:val="Heading2"/>
      </w:pPr>
      <w:r>
        <w:t xml:space="preserve">Product: mvzytysyfl (Smart IoT Sensor)</w:t>
      </w:r>
    </w:p>
    <w:p>
      <w:pPr>
        <w:pStyle w:val="FirstParagraph"/>
      </w:pPr>
      <w:r>
        <w:rPr>
          <w:bCs/>
          <w:b/>
        </w:rPr>
        <w:t xml:space="preserve">Company Name:</w:t>
      </w:r>
      <w:r>
        <w:t xml:space="preserve"> </w:t>
      </w:r>
      <w:r>
        <w:t xml:space="preserve">fuzetzuzix</w:t>
      </w:r>
    </w:p>
    <w:p>
      <w:pPr>
        <w:pStyle w:val="BodyText"/>
      </w:pPr>
      <w:r>
        <w:rPr>
          <w:bCs/>
          <w:b/>
        </w:rPr>
        <w:t xml:space="preserve">Senior Sustainability Consultant:</w:t>
      </w:r>
      <w:r>
        <w:t xml:space="preserve"> </w:t>
      </w:r>
      <w:r>
        <w:t xml:space="preserve">uhixxmvoyv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real-world operational changes, specific supplier data, and evolving methodologies. Placeholder values were used for unspecified parameters as detailed within the report.</w:t>
      </w:r>
    </w:p>
    <w:p>
      <w:pPr>
        <w:pStyle w:val="BodyText"/>
      </w:pPr>
      <w:r>
        <w:t xml:space="preserve">Generated Date: June 1, 2026</w:t>
      </w:r>
    </w:p>
    <w:bookmarkEnd w:id="20"/>
    <w:bookmarkEnd w:id="21"/>
    <w:bookmarkStart w:id="53" w:name="Xfded82f36900756c3562586bf36b467895789ca"/>
    <w:p>
      <w:pPr>
        <w:pStyle w:val="Heading1"/>
      </w:pPr>
      <w:r>
        <w:t xml:space="preserve">Product Carbon Footprint Analysis for mvzytysyfl (Smart IoT Sensor)</w:t>
      </w:r>
    </w:p>
    <w:p>
      <w:pPr>
        <w:pStyle w:val="FirstParagraph"/>
      </w:pPr>
      <w:r>
        <w:rPr>
          <w:bCs/>
          <w:b/>
        </w:rPr>
        <w:t xml:space="preserve">Generated Date:</w:t>
      </w:r>
      <w:r>
        <w:t xml:space="preserve"> </w:t>
      </w:r>
      <w:r>
        <w:t xml:space="preserve">June 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mvzytysyfl</w:t>
      </w:r>
      <w:r>
        <w:t xml:space="preserve">, a Smart IoT Sensor manufactured by</w:t>
      </w:r>
      <w:r>
        <w:t xml:space="preserve"> </w:t>
      </w:r>
      <w:r>
        <w:rPr>
          <w:bCs/>
          <w:b/>
        </w:rPr>
        <w:t xml:space="preserve">fuzetzuzix</w:t>
      </w:r>
      <w:r>
        <w:t xml:space="preserve">. The analysis was conducted by Senior Sustainability Consultant</w:t>
      </w:r>
      <w:r>
        <w:t xml:space="preserve"> </w:t>
      </w:r>
      <w:r>
        <w:rPr>
          <w:bCs/>
          <w:b/>
        </w:rPr>
        <w:t xml:space="preserve">uhixxmvoyv</w:t>
      </w:r>
      <w:r>
        <w:t xml:space="preserve">, adhering to the internationally recognized GHG Protocol. The objective is to quantify the greenhouse gas (GHG) emissions across the product\'s lifecycle, identify emission hotspots, and provide insights for reduction strategies. The study considers a cradle-to-grave approach, encompassing raw material extraction, manufacturing, transportation, product use, and end-of-life scenarios, with a primary system boundary of factory_gate for production processes and expanded Scope 3 for the full value chain.</w:t>
      </w:r>
    </w:p>
    <w:p>
      <w:pPr>
        <w:pStyle w:val="BodyText"/>
      </w:pPr>
      <w:r>
        <w:t xml:space="preserve">Key findings indicate that the majority of emissions originate from upstream material production and the product\'s use phase due to energy consumption. Significant opportunities exist in optimizing material choices, enhancing manufacturing energy efficiency through renewable sources, and extending product lifespan with improved energy performance. This report also incorporates the 2026 Land Sector and Removals (LSR) Standard update where applicable for comprehensive accounting.</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mvzytysyfl</w:t>
      </w:r>
      <w:r>
        <w:t xml:space="preserve"> </w:t>
      </w:r>
      <w:r>
        <w:t xml:space="preserve">(Smart IoT Sensor) follows the Greenhouse Gas Protocol\'s Product Life Cycle Accounting and Reporting Standard. This standard provides a framework for understanding the full life cycle emissions of a product and identifying opportunities for GHG reduction.</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mvzytysyfl (Smart IoT Sensor)</w:t>
      </w:r>
    </w:p>
    <w:p>
      <w:pPr>
        <w:numPr>
          <w:ilvl w:val="0"/>
          <w:numId w:val="1001"/>
        </w:numPr>
        <w:pStyle w:val="Compact"/>
      </w:pPr>
      <w:r>
        <w:t xml:space="preserve">This unit serves as the reference basis for quantifying all inputs and outputs throughout the product\'s lifecycle, ensuring comparability of results.</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Cradle-to-Grave. While the primary production system boundary for core manufacturing is defined as \'factory_gate\', the analysis extends to cover the entire product lifecycle from raw material acquisition (\'cradle\') through manufacturing, distribution, use, and end-of-life (\'grave\') to ensure comprehensive Scope 3 reporting as per 2026 GHG Protocol requirements.</w:t>
      </w:r>
    </w:p>
    <w:p>
      <w:pPr>
        <w:numPr>
          <w:ilvl w:val="0"/>
          <w:numId w:val="1002"/>
        </w:numPr>
        <w:pStyle w:val="Compact"/>
      </w:pPr>
      <w:r>
        <w:t xml:space="preserve">The \'factory_gate\' aspect specifically focuses the detailed production energy and waste emissions to the point where the finished product leaves the manufacturing facility in China.</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inbound and outbound logistics, and use phase scenarios).</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This includes the application of the Corporate Standard and the Corporate Value Chain (Scope 3) Standard for categorizing emissions.</w:t>
      </w:r>
    </w:p>
    <w:p>
      <w:pPr>
        <w:numPr>
          <w:ilvl w:val="0"/>
          <w:numId w:val="1004"/>
        </w:numPr>
        <w:pStyle w:val="Compact"/>
      </w:pPr>
      <w:r>
        <w:rPr>
          <w:bCs/>
          <w:b/>
        </w:rPr>
        <w:t xml:space="preserve">2026 LSR Update:</w:t>
      </w:r>
      <w:r>
        <w:t xml:space="preserve"> </w:t>
      </w:r>
      <w:r>
        <w:t xml:space="preserve">The Land Sector and Removals (LSR) Standard (effective January 1, 2027), provides requirements for quantifying, reporting, and tracking land emissions and CO₂ removals. For this product (an electronic sensor), direct land-use change emissions or significant biogenic carbon removals are considered minimal or not directly applicable unless specific bio-based materials or processes with direct land impacts are identified in the supply chain. This report acknowledges the LSR standard and assumes no significant land-use change emissions directly attributable to the product\'s components or manufacturing processes at this level of detail.</w:t>
      </w:r>
    </w:p>
    <w:bookmarkEnd w:id="26"/>
    <w:bookmarkStart w:id="27" w:name="allocation"/>
    <w:p>
      <w:pPr>
        <w:pStyle w:val="Heading3"/>
      </w:pPr>
      <w:r>
        <w:t xml:space="preserve">1.5. Allocation</w:t>
      </w:r>
    </w:p>
    <w:p>
      <w:pPr>
        <w:numPr>
          <w:ilvl w:val="0"/>
          <w:numId w:val="1005"/>
        </w:numPr>
        <w:pStyle w:val="Compact"/>
      </w:pPr>
      <w:r>
        <w:t xml:space="preserve">Emissions are allocated to the functional unit based on mass for raw materials and specific energy consumption for manufacturing and use. For co-products or waste, allocation follows GHG Protocol guidelines, typically using mass or economic value where appropriate, ensuring no double-counting and full accountability.</w:t>
      </w:r>
    </w:p>
    <w:p>
      <w:r>
        <w:pict>
          <v:rect style="width:0;height:1.5pt" o:hralign="center" o:hrstd="t" o:hr="t"/>
        </w:pict>
      </w:r>
    </w:p>
    <w:bookmarkEnd w:id="27"/>
    <w:bookmarkEnd w:id="28"/>
    <w:bookmarkStart w:id="41" w:name="Xdee41cdec83522d4da0b03cd5613dc600f40b34"/>
    <w:p>
      <w:pPr>
        <w:pStyle w:val="Heading2"/>
      </w:pPr>
      <w:r>
        <w:t xml:space="preserve">2. &amp; 3. Lifecycle Mapping (LCI Stages) &amp; Data Collection</w:t>
      </w:r>
    </w:p>
    <w:p>
      <w:pPr>
        <w:pStyle w:val="FirstParagraph"/>
      </w:pPr>
      <w:r>
        <w:t xml:space="preserve">This section details the inventory stages of the product\'s lifecycle and the data collected, combining steps 2 and 3 of the methodology. Primary data was used where provided (BOM, energy, transport specifics), and secondary data (industry-average emission factors) from sources such as Ecoinvent, DEFRA, and recognized databases were used for other parameters.</w:t>
      </w:r>
    </w:p>
    <w:bookmarkStart w:id="30" w:name="Xc468ded5a7fa091b9c9a81ca7124d562fc085dd"/>
    <w:p>
      <w:pPr>
        <w:pStyle w:val="Heading3"/>
      </w:pPr>
      <w:r>
        <w:t xml:space="preserve">2.1. Materials Acquisition &amp; Pre-processing (Upstream - Scope 3)</w:t>
      </w:r>
    </w:p>
    <w:p>
      <w:pPr>
        <w:pStyle w:val="FirstParagraph"/>
      </w:pPr>
      <w:r>
        <w:t xml:space="preserve">The Detailed Bill of Materials (BOM) for</w:t>
      </w:r>
      <w:r>
        <w:t xml:space="preserve"> </w:t>
      </w:r>
      <w:r>
        <w:rPr>
          <w:bCs/>
          <w:b/>
        </w:rPr>
        <w:t xml:space="preserve">mvzytysyfl</w:t>
      </w:r>
      <w:r>
        <w:t xml:space="preserve"> </w:t>
      </w:r>
      <w:r>
        <w:t xml:space="preserve">is crucial for calculating the upstream emissions associated with raw material extraction and processing. The provided BOM (hfnsnvqr) has been parsed and integrated into the analysis.</w:t>
      </w:r>
    </w:p>
    <w:bookmarkStart w:id="29" w:name="Xc25a433bacc6c7b6933ece849fcbc6c6dcd40cd"/>
    <w:p>
      <w:pPr>
        <w:pStyle w:val="Heading4"/>
      </w:pPr>
      <w:r>
        <w:t xml:space="preserve">Detailed Bill of Materials (BOM) and Material Impact</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0.050</w:t>
            </w:r>
          </w:p>
        </w:tc>
        <w:tc>
          <w:tcPr/>
          <w:p>
            <w:pPr>
              <w:pStyle w:val="Compact"/>
              <w:jc w:val="left"/>
            </w:pPr>
            <w:r>
              <w:t xml:space="preserve">2.50</w:t>
            </w:r>
          </w:p>
        </w:tc>
        <w:tc>
          <w:tcPr/>
          <w:p>
            <w:pPr>
              <w:pStyle w:val="Compact"/>
              <w:jc w:val="left"/>
            </w:pPr>
            <w:r>
              <w:t xml:space="preserve">0.125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0.020</w:t>
            </w:r>
          </w:p>
        </w:tc>
        <w:tc>
          <w:tcPr/>
          <w:p>
            <w:pPr>
              <w:pStyle w:val="Compact"/>
              <w:jc w:val="left"/>
            </w:pPr>
            <w:r>
              <w:t xml:space="preserve">25.00</w:t>
            </w:r>
          </w:p>
        </w:tc>
        <w:tc>
          <w:tcPr/>
          <w:p>
            <w:pPr>
              <w:pStyle w:val="Compact"/>
              <w:jc w:val="left"/>
            </w:pPr>
            <w:r>
              <w:t xml:space="preserve">0.500</w:t>
            </w:r>
          </w:p>
        </w:tc>
      </w:tr>
      <w:tr>
        <w:tc>
          <w:tcPr/>
          <w:p>
            <w:pPr>
              <w:pStyle w:val="Compact"/>
              <w:jc w:val="left"/>
            </w:pPr>
            <w:r>
              <w:t xml:space="preserve">3</w:t>
            </w:r>
          </w:p>
        </w:tc>
        <w:tc>
          <w:tcPr/>
          <w:p>
            <w:pPr>
              <w:pStyle w:val="Compact"/>
              <w:jc w:val="left"/>
            </w:pPr>
            <w:r>
              <w:t xml:space="preserve">Battery (Li-ion)</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0.010</w:t>
            </w:r>
          </w:p>
        </w:tc>
        <w:tc>
          <w:tcPr/>
          <w:p>
            <w:pPr>
              <w:pStyle w:val="Compact"/>
              <w:jc w:val="left"/>
            </w:pPr>
            <w:r>
              <w:t xml:space="preserve">15.00</w:t>
            </w:r>
          </w:p>
        </w:tc>
        <w:tc>
          <w:tcPr/>
          <w:p>
            <w:pPr>
              <w:pStyle w:val="Compact"/>
              <w:jc w:val="left"/>
            </w:pPr>
            <w:r>
              <w:t xml:space="preserve">0.150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5.00</w:t>
            </w:r>
          </w:p>
        </w:tc>
        <w:tc>
          <w:tcPr/>
          <w:p>
            <w:pPr>
              <w:pStyle w:val="Compact"/>
              <w:jc w:val="left"/>
            </w:pPr>
            <w:r>
              <w:t xml:space="preserve">0.025</w:t>
            </w:r>
          </w:p>
        </w:tc>
      </w:tr>
      <w:tr>
        <w:tc>
          <w:tcPr>
            <w:gridSpan w:val="4"/>
          </w:tcPr>
          <w:p>
            <w:pPr>
              <w:pStyle w:val="Compact"/>
              <w:jc w:val="right"/>
            </w:pPr>
            <w:r>
              <w:rPr>
                <w:bCs/>
                <w:b/>
              </w:rPr>
              <w:t xml:space="preserve">Total Material Mass:</w:t>
            </w:r>
          </w:p>
        </w:tc>
        <w:tc>
          <w:tcPr/>
          <w:p>
            <w:pPr>
              <w:pStyle w:val="Compact"/>
              <w:jc w:val="left"/>
            </w:pPr>
            <w:r>
              <w:rPr>
                <w:bCs/>
                <w:b/>
              </w:rPr>
              <w:t xml:space="preserve">0.085 kg</w:t>
            </w:r>
          </w:p>
        </w:tc>
        <w:tc>
          <w:tcPr/>
          <w:p>
            <w:pPr>
              <w:pStyle w:val="Compact"/>
            </w:pPr>
          </w:p>
        </w:tc>
        <w:tc>
          <w:tcPr/>
          <w:p>
            <w:pPr>
              <w:pStyle w:val="Compact"/>
              <w:jc w:val="left"/>
            </w:pPr>
            <w:r>
              <w:rPr>
                <w:bCs/>
                <w:b/>
              </w:rPr>
              <w:t xml:space="preserve">0.800 kg CO2e</w:t>
            </w:r>
          </w:p>
        </w:tc>
      </w:tr>
    </w:tbl>
    <w:p>
      <w:pPr>
        <w:pStyle w:val="BodyText"/>
      </w:pPr>
      <w:r>
        <w:rPr>
          <w:iCs/>
          <w:i/>
        </w:rPr>
        <w:t xml:space="preserve">Note: Emission factors are illustrative and based on industry averages for similar materials and processes, adapted from sources such as Ecoinvent and DEFRA equivalents.</w:t>
      </w:r>
    </w:p>
    <w:bookmarkEnd w:id="29"/>
    <w:bookmarkEnd w:id="30"/>
    <w:bookmarkStart w:id="33" w:name="manufacturing-production-phase"/>
    <w:p>
      <w:pPr>
        <w:pStyle w:val="Heading3"/>
      </w:pPr>
      <w:r>
        <w:t xml:space="preserve">2.2. Manufacturing (Production) Phase</w:t>
      </w:r>
    </w:p>
    <w:p>
      <w:pPr>
        <w:pStyle w:val="FirstParagraph"/>
      </w:pPr>
      <w:r>
        <w:t xml:space="preserve">The manufacturing of</w:t>
      </w:r>
      <w:r>
        <w:t xml:space="preserve"> </w:t>
      </w:r>
      <w:r>
        <w:rPr>
          <w:bCs/>
          <w:b/>
        </w:rPr>
        <w:t xml:space="preserve">mvzytysyfl</w:t>
      </w:r>
      <w:r>
        <w:t xml:space="preserve"> </w:t>
      </w:r>
      <w:r>
        <w:t xml:space="preserve">(Smart IoT Sensor) takes place in China. Energy consumption during this phase is a key contributor to the product\'s footprint.</w:t>
      </w:r>
    </w:p>
    <w:bookmarkStart w:id="31" w:name="production-energy-consumption"/>
    <w:p>
      <w:pPr>
        <w:pStyle w:val="Heading4"/>
      </w:pPr>
      <w:r>
        <w:t xml:space="preserve">Production Energy Consumption</w:t>
      </w:r>
    </w:p>
    <w:p>
      <w:pPr>
        <w:numPr>
          <w:ilvl w:val="0"/>
          <w:numId w:val="1006"/>
        </w:numPr>
        <w:pStyle w:val="Compact"/>
      </w:pPr>
      <w:r>
        <w:rPr>
          <w:bCs/>
          <w:b/>
        </w:rPr>
        <w:t xml:space="preserve">Energy Intensity (kWh/unit):</w:t>
      </w:r>
      <w:r>
        <w:t xml:space="preserve"> </w:t>
      </w:r>
      <w:r>
        <w:t xml:space="preserve">xlwmjrotsz (0.75 kWh/unit)</w:t>
      </w:r>
    </w:p>
    <w:p>
      <w:pPr>
        <w:numPr>
          <w:ilvl w:val="0"/>
          <w:numId w:val="1006"/>
        </w:numPr>
        <w:pStyle w:val="Compact"/>
      </w:pPr>
      <w:r>
        <w:rPr>
          <w:bCs/>
          <w:b/>
        </w:rPr>
        <w:t xml:space="preserve">Renewable Energy Usage:</w:t>
      </w:r>
      <w:r>
        <w:t xml:space="preserve"> </w:t>
      </w:r>
      <w:r>
        <w:t xml:space="preserve">qhqxggsnqv (60%)</w:t>
      </w:r>
    </w:p>
    <w:p>
      <w:pPr>
        <w:numPr>
          <w:ilvl w:val="0"/>
          <w:numId w:val="1006"/>
        </w:numPr>
        <w:pStyle w:val="Compact"/>
      </w:pPr>
      <w:r>
        <w:rPr>
          <w:bCs/>
          <w:b/>
        </w:rPr>
        <w:t xml:space="preserve">Non-Renewable Grid Mix (China):</w:t>
      </w:r>
      <w:r>
        <w:t xml:space="preserve"> </w:t>
      </w:r>
      <w:r>
        <w:t xml:space="preserve">40%</w:t>
      </w:r>
    </w:p>
    <w:bookmarkEnd w:id="31"/>
    <w:bookmarkStart w:id="32" w:name="emission-factors-for-electricity"/>
    <w:p>
      <w:pPr>
        <w:pStyle w:val="Heading4"/>
      </w:pPr>
      <w:r>
        <w:t xml:space="preserve">Emission Factors for Electricity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Energy Source</w:t>
            </w:r>
          </w:p>
        </w:tc>
        <w:tc>
          <w:tcPr/>
          <w:p>
            <w:pPr>
              <w:pStyle w:val="Compact"/>
              <w:jc w:val="left"/>
            </w:pPr>
            <w:r>
              <w:t xml:space="preserve">Emission Factor (kg CO2e/kWh)</w:t>
            </w:r>
          </w:p>
        </w:tc>
      </w:tr>
      <w:tr>
        <w:tc>
          <w:tcPr/>
          <w:p>
            <w:pPr>
              <w:pStyle w:val="Compact"/>
              <w:jc w:val="left"/>
            </w:pPr>
            <w:r>
              <w:t xml:space="preserve">China Grid Mix (Average)</w:t>
            </w:r>
          </w:p>
        </w:tc>
        <w:tc>
          <w:tcPr/>
          <w:p>
            <w:pPr>
              <w:pStyle w:val="Compact"/>
              <w:jc w:val="left"/>
            </w:pPr>
            <w:r>
              <w:t xml:space="preserve">0.556</w:t>
            </w:r>
          </w:p>
        </w:tc>
      </w:tr>
      <w:tr>
        <w:tc>
          <w:tcPr/>
          <w:p>
            <w:pPr>
              <w:pStyle w:val="Compact"/>
              <w:jc w:val="left"/>
            </w:pPr>
            <w:r>
              <w:t xml:space="preserve">Renewable Energy (e.g., Wind/Solar)</w:t>
            </w:r>
          </w:p>
        </w:tc>
        <w:tc>
          <w:tcPr/>
          <w:p>
            <w:pPr>
              <w:pStyle w:val="Compact"/>
              <w:jc w:val="left"/>
            </w:pPr>
            <w:r>
              <w:t xml:space="preserve">0.010</w:t>
            </w:r>
          </w:p>
        </w:tc>
      </w:tr>
    </w:tbl>
    <w:p>
      <w:pPr>
        <w:pStyle w:val="BodyText"/>
      </w:pPr>
      <w:r>
        <w:rPr>
          <w:iCs/>
          <w:i/>
        </w:rPr>
        <w:t xml:space="preserve">Effective Emission Factor for Production (60% Renewable, 40% Grid) = (0.60 * 0.010) + (0.40 * 0.556) = 0.006 + 0.2224 = 0.2284 kg CO2e/kWh.</w:t>
      </w:r>
    </w:p>
    <w:bookmarkEnd w:id="32"/>
    <w:bookmarkEnd w:id="33"/>
    <w:bookmarkStart w:id="35" w:name="transportation-and-distribution-scope-3"/>
    <w:p>
      <w:pPr>
        <w:pStyle w:val="Heading3"/>
      </w:pPr>
      <w:r>
        <w:t xml:space="preserve">2.3. Transportation and Distribution (Scope 3)</w:t>
      </w:r>
    </w:p>
    <w:p>
      <w:pPr>
        <w:pStyle w:val="FirstParagraph"/>
      </w:pPr>
      <w:r>
        <w:t xml:space="preserve">Transportation occurs both upstream (inbound logistics of components/materials to the factory in China) and downstream (distribution of the finished product to Europe and last-mile delivery). The total product weight is 0.085 kg (0.000085 tonnes).</w:t>
      </w:r>
    </w:p>
    <w:bookmarkStart w:id="34" w:name="logistics-data-and-emission-factors"/>
    <w:p>
      <w:pPr>
        <w:pStyle w:val="Heading4"/>
      </w:pPr>
      <w:r>
        <w:t xml:space="preserve">Logistics Data and Emission Factors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 (kg CO2e/tkm)</w:t>
            </w:r>
          </w:p>
        </w:tc>
        <w:tc>
          <w:tcPr/>
          <w:p>
            <w:pPr>
              <w:pStyle w:val="Compact"/>
              <w:jc w:val="left"/>
            </w:pPr>
            <w:r>
              <w:t xml:space="preserve">Product Weight (tonnes)</w:t>
            </w:r>
          </w:p>
        </w:tc>
        <w:tc>
          <w:tcPr/>
          <w:p>
            <w:pPr>
              <w:pStyle w:val="Compact"/>
              <w:jc w:val="left"/>
            </w:pPr>
            <w:r>
              <w:t xml:space="preserve">Total Carbon (kg CO2e)</w:t>
            </w:r>
          </w:p>
        </w:tc>
      </w:tr>
      <w:tr>
        <w:tc>
          <w:tcPr>
            <w:vMerge w:val="restart"/>
          </w:tcPr>
          <w:p>
            <w:pPr>
              <w:pStyle w:val="Compact"/>
              <w:jc w:val="left"/>
            </w:pPr>
            <w:r>
              <w:t xml:space="preserve">Inbound to Factory (Upstream)</w:t>
            </w:r>
          </w:p>
        </w:tc>
        <w:tc>
          <w:tcPr/>
          <w:p>
            <w:pPr>
              <w:pStyle w:val="Compact"/>
              <w:jc w:val="left"/>
            </w:pPr>
            <w:r>
              <w:t xml:space="preserve">Ocean Freight (China to Europe via assumed hub)</w:t>
            </w:r>
          </w:p>
        </w:tc>
        <w:tc>
          <w:tcPr/>
          <w:p>
            <w:pPr>
              <w:pStyle w:val="Compact"/>
              <w:jc w:val="left"/>
            </w:pPr>
            <w:r>
              <w:t xml:space="preserve">ipgxifufwu (10000)</w:t>
            </w:r>
          </w:p>
        </w:tc>
        <w:tc>
          <w:tcPr/>
          <w:p>
            <w:pPr>
              <w:pStyle w:val="Compact"/>
              <w:jc w:val="left"/>
            </w:pPr>
            <w:r>
              <w:t xml:space="preserve">0.016</w:t>
            </w:r>
          </w:p>
        </w:tc>
        <w:tc>
          <w:tcPr/>
          <w:p>
            <w:pPr>
              <w:pStyle w:val="Compact"/>
              <w:jc w:val="left"/>
            </w:pPr>
            <w:r>
              <w:t xml:space="preserve">0.000085</w:t>
            </w:r>
          </w:p>
        </w:tc>
        <w:tc>
          <w:tcPr/>
          <w:p>
            <w:pPr>
              <w:pStyle w:val="Compact"/>
              <w:jc w:val="left"/>
            </w:pPr>
            <w:r>
              <w:t xml:space="preserve">0.0136</w:t>
            </w:r>
          </w:p>
        </w:tc>
      </w:tr>
      <w:tr>
        <w:tc>
          <w:tcPr>
            <w:gridSpan w:val="1"/>
            <w:vMerge w:val="continue"/>
          </w:tcPr>
          <w:p>
            <w:pPr/>
          </w:p>
        </w:tc>
        <w:tc>
          <w:tcPr/>
          <w:p>
            <w:pPr>
              <w:pStyle w:val="Compact"/>
              <w:jc w:val="left"/>
            </w:pPr>
            <w:r>
              <w:t xml:space="preserve">Road Freight (Europe, heavy duty truck to distribution center)</w:t>
            </w:r>
          </w:p>
        </w:tc>
        <w:tc>
          <w:tcPr/>
          <w:p>
            <w:pPr>
              <w:pStyle w:val="Compact"/>
              <w:jc w:val="left"/>
            </w:pPr>
            <w:r>
              <w:t xml:space="preserve">ipgxifufwu (500)</w:t>
            </w:r>
          </w:p>
        </w:tc>
        <w:tc>
          <w:tcPr/>
          <w:p>
            <w:pPr>
              <w:pStyle w:val="Compact"/>
              <w:jc w:val="left"/>
            </w:pPr>
            <w:r>
              <w:t xml:space="preserve">0.090</w:t>
            </w:r>
          </w:p>
        </w:tc>
        <w:tc>
          <w:tcPr/>
          <w:p>
            <w:pPr>
              <w:pStyle w:val="Compact"/>
              <w:jc w:val="left"/>
            </w:pPr>
            <w:r>
              <w:t xml:space="preserve">0.000085</w:t>
            </w:r>
          </w:p>
        </w:tc>
        <w:tc>
          <w:tcPr/>
          <w:p>
            <w:pPr>
              <w:pStyle w:val="Compact"/>
              <w:jc w:val="left"/>
            </w:pPr>
            <w:r>
              <w:t xml:space="preserve">0.0038</w:t>
            </w:r>
          </w:p>
        </w:tc>
      </w:tr>
      <w:tr>
        <w:tc>
          <w:tcPr/>
          <w:p>
            <w:pPr>
              <w:pStyle w:val="Compact"/>
              <w:jc w:val="left"/>
            </w:pPr>
            <w:r>
              <w:t xml:space="preserve">Last-Mile Delivery (Downstream)</w:t>
            </w:r>
          </w:p>
        </w:tc>
        <w:tc>
          <w:tcPr/>
          <w:p>
            <w:pPr>
              <w:pStyle w:val="Compact"/>
              <w:jc w:val="left"/>
            </w:pPr>
            <w:r>
              <w:t xml:space="preserve">Van Delivery (Delivery Type)</w:t>
            </w:r>
          </w:p>
        </w:tc>
        <w:tc>
          <w:tcPr/>
          <w:p>
            <w:pPr>
              <w:pStyle w:val="Compact"/>
              <w:jc w:val="left"/>
            </w:pPr>
            <w:r>
              <w:t xml:space="preserve">ipgxifufwu (50)</w:t>
            </w:r>
          </w:p>
        </w:tc>
        <w:tc>
          <w:tcPr/>
          <w:p>
            <w:pPr>
              <w:pStyle w:val="Compact"/>
              <w:jc w:val="left"/>
            </w:pPr>
            <w:r>
              <w:t xml:space="preserve">0.300</w:t>
            </w:r>
          </w:p>
        </w:tc>
        <w:tc>
          <w:tcPr/>
          <w:p>
            <w:pPr>
              <w:pStyle w:val="Compact"/>
              <w:jc w:val="left"/>
            </w:pPr>
            <w:r>
              <w:t xml:space="preserve">0.000085</w:t>
            </w:r>
          </w:p>
        </w:tc>
        <w:tc>
          <w:tcPr/>
          <w:p>
            <w:pPr>
              <w:pStyle w:val="Compact"/>
              <w:jc w:val="left"/>
            </w:pPr>
            <w:r>
              <w:t xml:space="preserve">0.0013</w:t>
            </w:r>
          </w:p>
        </w:tc>
      </w:tr>
      <w:tr>
        <w:tc>
          <w:tcPr>
            <w:gridSpan w:val="5"/>
          </w:tcPr>
          <w:p>
            <w:pPr>
              <w:pStyle w:val="Compact"/>
              <w:jc w:val="right"/>
            </w:pPr>
            <w:r>
              <w:rPr>
                <w:bCs/>
                <w:b/>
              </w:rPr>
              <w:t xml:space="preserve">Total Transport Carbon:</w:t>
            </w:r>
          </w:p>
        </w:tc>
        <w:tc>
          <w:tcPr/>
          <w:p>
            <w:pPr>
              <w:pStyle w:val="Compact"/>
              <w:jc w:val="left"/>
            </w:pPr>
            <w:r>
              <w:rPr>
                <w:bCs/>
                <w:b/>
              </w:rPr>
              <w:t xml:space="preserve">0.0187 kg CO2e</w:t>
            </w:r>
          </w:p>
        </w:tc>
      </w:tr>
    </w:tbl>
    <w:p>
      <w:pPr>
        <w:pStyle w:val="BodyText"/>
      </w:pPr>
      <w:r>
        <w:rPr>
          <w:iCs/>
          <w:i/>
        </w:rPr>
        <w:t xml:space="preserve">Note: Product weight used for transport calculations is 0.085 kg (0.000085 tonnes). Emission factors for road and van delivery are approximate values.</w:t>
      </w:r>
    </w:p>
    <w:bookmarkEnd w:id="34"/>
    <w:bookmarkEnd w:id="35"/>
    <w:bookmarkStart w:id="37" w:name="use-phase-downstream---scope-3"/>
    <w:p>
      <w:pPr>
        <w:pStyle w:val="Heading3"/>
      </w:pPr>
      <w:r>
        <w:t xml:space="preserve">2.4. Use Phase (Downstream - Scope 3)</w:t>
      </w:r>
    </w:p>
    <w:p>
      <w:pPr>
        <w:pStyle w:val="FirstParagraph"/>
      </w:pPr>
      <w:r>
        <w:t xml:space="preserve">The operational lifespan and energy consumption of the</w:t>
      </w:r>
      <w:r>
        <w:t xml:space="preserve"> </w:t>
      </w:r>
      <w:r>
        <w:rPr>
          <w:bCs/>
          <w:b/>
        </w:rPr>
        <w:t xml:space="preserve">mvzytysyfl</w:t>
      </w:r>
      <w:r>
        <w:t xml:space="preserve"> </w:t>
      </w:r>
      <w:r>
        <w:t xml:space="preserve">(Smart IoT Sensor) are critical for its use phase footprint.</w:t>
      </w:r>
    </w:p>
    <w:bookmarkStart w:id="36" w:name="product-use-phase-data"/>
    <w:p>
      <w:pPr>
        <w:pStyle w:val="Heading4"/>
      </w:pPr>
      <w:r>
        <w:t xml:space="preserve">Product Use Phase Data</w:t>
      </w:r>
    </w:p>
    <w:p>
      <w:pPr>
        <w:numPr>
          <w:ilvl w:val="0"/>
          <w:numId w:val="1007"/>
        </w:numPr>
        <w:pStyle w:val="Compact"/>
      </w:pPr>
      <w:r>
        <w:rPr>
          <w:bCs/>
          <w:b/>
        </w:rPr>
        <w:t xml:space="preserve">Product Lifespan:</w:t>
      </w:r>
      <w:r>
        <w:t xml:space="preserve"> </w:t>
      </w:r>
      <w:r>
        <w:t xml:space="preserve">dtzwsrojgs (3 years)</w:t>
      </w:r>
    </w:p>
    <w:p>
      <w:pPr>
        <w:numPr>
          <w:ilvl w:val="0"/>
          <w:numId w:val="1007"/>
        </w:numPr>
        <w:pStyle w:val="Compact"/>
      </w:pPr>
      <w:r>
        <w:rPr>
          <w:bCs/>
          <w:b/>
        </w:rPr>
        <w:t xml:space="preserve">Energy Consumption in Use:</w:t>
      </w:r>
      <w:r>
        <w:t xml:space="preserve"> </w:t>
      </w:r>
      <w:r>
        <w:t xml:space="preserve">grndhmenpo (0.005 kWh/day)</w:t>
      </w:r>
    </w:p>
    <w:p>
      <w:pPr>
        <w:numPr>
          <w:ilvl w:val="0"/>
          <w:numId w:val="1007"/>
        </w:numPr>
        <w:pStyle w:val="Compact"/>
      </w:pPr>
      <w:r>
        <w:rPr>
          <w:bCs/>
          <w:b/>
        </w:rPr>
        <w:t xml:space="preserve">Total Use Phase Energy:</w:t>
      </w:r>
      <w:r>
        <w:t xml:space="preserve"> </w:t>
      </w:r>
      <w:r>
        <w:t xml:space="preserve">0.005 kWh/day * 365 days/year * 3 years = 5.475 kWh</w:t>
      </w:r>
    </w:p>
    <w:p>
      <w:pPr>
        <w:numPr>
          <w:ilvl w:val="0"/>
          <w:numId w:val="1007"/>
        </w:numPr>
        <w:pStyle w:val="Compact"/>
      </w:pPr>
      <w:r>
        <w:rPr>
          <w:bCs/>
          <w:b/>
        </w:rPr>
        <w:t xml:space="preserve">Assumed Grid Mix (Europe, for consumer use):</w:t>
      </w:r>
      <w:r>
        <w:t xml:space="preserve"> </w:t>
      </w:r>
      <w:r>
        <w:t xml:space="preserve">0.27 kg CO2e/kWh (approximate average).</w:t>
      </w:r>
    </w:p>
    <w:bookmarkEnd w:id="36"/>
    <w:bookmarkEnd w:id="37"/>
    <w:bookmarkStart w:id="40" w:name="end-of-life-downstream---scope-3"/>
    <w:p>
      <w:pPr>
        <w:pStyle w:val="Heading3"/>
      </w:pPr>
      <w:r>
        <w:t xml:space="preserve">2.5. End-of-Life (Downstream - Scope 3)</w:t>
      </w:r>
    </w:p>
    <w:p>
      <w:pPr>
        <w:pStyle w:val="FirstParagraph"/>
      </w:pPr>
      <w:r>
        <w:t xml:space="preserve">The end-of-life scenario considers both recycling and disposal, aiming to capture circular economy impacts.</w:t>
      </w:r>
    </w:p>
    <w:bookmarkStart w:id="38" w:name="end-of-life-scenarios"/>
    <w:p>
      <w:pPr>
        <w:pStyle w:val="Heading4"/>
      </w:pPr>
      <w:r>
        <w:t xml:space="preserve">End-of-Life Scenarios</w:t>
      </w:r>
    </w:p>
    <w:p>
      <w:pPr>
        <w:numPr>
          <w:ilvl w:val="0"/>
          <w:numId w:val="1008"/>
        </w:numPr>
        <w:pStyle w:val="Compact"/>
      </w:pPr>
      <w:r>
        <w:rPr>
          <w:bCs/>
          <w:b/>
        </w:rPr>
        <w:t xml:space="preserve">Recyclability Percentage:</w:t>
      </w:r>
      <w:r>
        <w:t xml:space="preserve"> </w:t>
      </w:r>
      <w:r>
        <w:t xml:space="preserve">frlesmryqp (70%)</w:t>
      </w:r>
    </w:p>
    <w:p>
      <w:pPr>
        <w:numPr>
          <w:ilvl w:val="0"/>
          <w:numId w:val="1008"/>
        </w:numPr>
        <w:pStyle w:val="Compact"/>
      </w:pPr>
      <w:r>
        <w:rPr>
          <w:bCs/>
          <w:b/>
        </w:rPr>
        <w:t xml:space="preserve">Circular/Take-back Programs:</w:t>
      </w:r>
      <w:r>
        <w:t xml:space="preserve"> </w:t>
      </w:r>
      <w:r>
        <w:t xml:space="preserve">wmrdtwtgrh (Yes, component recovery and material recycling program in place for electronics and plastics).</w:t>
      </w:r>
    </w:p>
    <w:bookmarkEnd w:id="38"/>
    <w:bookmarkStart w:id="39" w:name="emissioncredit-factors-for-end-of-life"/>
    <w:p>
      <w:pPr>
        <w:pStyle w:val="Heading4"/>
      </w:pPr>
      <w:r>
        <w:t xml:space="preserve">Emission/Credit Factors for End-of-Life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Scenario</w:t>
            </w:r>
          </w:p>
        </w:tc>
        <w:tc>
          <w:tcPr/>
          <w:p>
            <w:pPr>
              <w:pStyle w:val="Compact"/>
              <w:jc w:val="left"/>
            </w:pPr>
            <w:r>
              <w:t xml:space="preserve">Factor (kg CO2e/kg)</w:t>
            </w:r>
          </w:p>
        </w:tc>
      </w:tr>
      <w:tr>
        <w:tc>
          <w:tcPr/>
          <w:p>
            <w:pPr>
              <w:pStyle w:val="Compact"/>
              <w:jc w:val="left"/>
            </w:pPr>
            <w:r>
              <w:t xml:space="preserve">Plastics (0.050 kg)</w:t>
            </w:r>
          </w:p>
        </w:tc>
        <w:tc>
          <w:tcPr/>
          <w:p>
            <w:pPr>
              <w:pStyle w:val="Compact"/>
              <w:jc w:val="left"/>
            </w:pPr>
            <w:r>
              <w:t xml:space="preserve">Recycling Credit (70% recycled)</w:t>
            </w:r>
          </w:p>
        </w:tc>
        <w:tc>
          <w:tcPr/>
          <w:p>
            <w:pPr>
              <w:pStyle w:val="Compact"/>
              <w:jc w:val="left"/>
            </w:pPr>
            <w:r>
              <w:t xml:space="preserve">-1.50 (avoided emissions)</w:t>
            </w:r>
          </w:p>
        </w:tc>
      </w:tr>
      <w:tr>
        <w:tc>
          <w:tcPr/>
          <w:p>
            <w:pPr>
              <w:pStyle w:val="Compact"/>
              <w:jc w:val="left"/>
            </w:pPr>
            <w:r>
              <w:t xml:space="preserve">Metals (0.035 kg)</w:t>
            </w:r>
          </w:p>
        </w:tc>
        <w:tc>
          <w:tcPr/>
          <w:p>
            <w:pPr>
              <w:pStyle w:val="Compact"/>
              <w:jc w:val="left"/>
            </w:pPr>
            <w:r>
              <w:t xml:space="preserve">Recycling Credit (70% recycled)</w:t>
            </w:r>
          </w:p>
        </w:tc>
        <w:tc>
          <w:tcPr/>
          <w:p>
            <w:pPr>
              <w:pStyle w:val="Compact"/>
              <w:jc w:val="left"/>
            </w:pPr>
            <w:r>
              <w:t xml:space="preserve">-3.00 (avoided emissions)</w:t>
            </w:r>
          </w:p>
        </w:tc>
      </w:tr>
      <w:tr>
        <w:tc>
          <w:tcPr/>
          <w:p>
            <w:pPr>
              <w:pStyle w:val="Compact"/>
              <w:jc w:val="left"/>
            </w:pPr>
            <w:r>
              <w:t xml:space="preserve">Mixed Waste</w:t>
            </w:r>
          </w:p>
        </w:tc>
        <w:tc>
          <w:tcPr/>
          <w:p>
            <w:pPr>
              <w:pStyle w:val="Compact"/>
              <w:jc w:val="left"/>
            </w:pPr>
            <w:r>
              <w:t xml:space="preserve">Landfill (30% disposed)</w:t>
            </w:r>
          </w:p>
        </w:tc>
        <w:tc>
          <w:tcPr/>
          <w:p>
            <w:pPr>
              <w:pStyle w:val="Compact"/>
              <w:jc w:val="left"/>
            </w:pPr>
            <w:r>
              <w:t xml:space="preserve">0.50</w:t>
            </w:r>
          </w:p>
        </w:tc>
      </w:tr>
    </w:tbl>
    <w:p>
      <w:pPr>
        <w:pStyle w:val="BodyText"/>
      </w:pPr>
      <w:r>
        <w:rPr>
          <w:iCs/>
          <w:i/>
        </w:rPr>
        <w:t xml:space="preserve">Note: Recycling credits represent avoided emissions from virgin material production.</w:t>
      </w:r>
    </w:p>
    <w:p>
      <w:r>
        <w:pict>
          <v:rect style="width:0;height:1.5pt" o:hralign="center" o:hrstd="t" o:hr="t"/>
        </w:pict>
      </w:r>
    </w:p>
    <w:bookmarkEnd w:id="39"/>
    <w:bookmarkEnd w:id="40"/>
    <w:bookmarkEnd w:id="41"/>
    <w:bookmarkStart w:id="48" w:name="Xdd0f433185fde5fd9508eee9e1e7bcaa542b608"/>
    <w:p>
      <w:pPr>
        <w:pStyle w:val="Heading2"/>
      </w:pPr>
      <w:r>
        <w:t xml:space="preserve">4. Emission Calculation and GHG Protocol Categorization</w:t>
      </w:r>
    </w:p>
    <w:p>
      <w:pPr>
        <w:pStyle w:val="FirstParagraph"/>
      </w:pPr>
      <w:r>
        <w:t xml:space="preserve">The total Product Carbon Footprint (PCF) for one unit of</w:t>
      </w:r>
      <w:r>
        <w:t xml:space="preserve"> </w:t>
      </w:r>
      <w:r>
        <w:rPr>
          <w:bCs/>
          <w:b/>
        </w:rPr>
        <w:t xml:space="preserve">mvzytysyfl</w:t>
      </w:r>
      <w:r>
        <w:t xml:space="preserve"> </w:t>
      </w:r>
      <w:r>
        <w:t xml:space="preserve">is calculated by summing the emissions from each lifecycle stage, categorized according to the GHG Protocol\'s Scope 1, 2, and 3. For a PCF, these scopes trace emissions back to their point of generation in the value chain.</w:t>
      </w:r>
    </w:p>
    <w:bookmarkStart w:id="42" w:name="scope-1-emissions-direct-emissions"/>
    <w:p>
      <w:pPr>
        <w:pStyle w:val="Heading3"/>
      </w:pPr>
      <w:r>
        <w:t xml:space="preserve">4.1. Scope 1 Emissions (Direct Emissions)</w:t>
      </w:r>
    </w:p>
    <w:p>
      <w:pPr>
        <w:pStyle w:val="FirstParagraph"/>
      </w:pPr>
      <w:r>
        <w:t xml:space="preserve">Scope 1 covers direct GHG emissions from sources owned or controlled by the reporting company (fuzetzuzix) or at the point of manufacture for the product. For the production of</w:t>
      </w:r>
      <w:r>
        <w:t xml:space="preserve"> </w:t>
      </w:r>
      <w:r>
        <w:rPr>
          <w:bCs/>
          <w:b/>
        </w:rPr>
        <w:t xml:space="preserve">mvzytysyfl</w:t>
      </w:r>
      <w:r>
        <w:t xml:space="preserve"> </w:t>
      </w:r>
      <w:r>
        <w:t xml:space="preserve">at the \'factory_gate\' boundary, direct process emissions (e.g., on-site fuel combustion not for electricity, fugitive emissions from manufacturing) are assumed to be negligible or not directly associated with this specific product\'s manufacturing process, relying primarily on purchased electricity.</w:t>
      </w:r>
    </w:p>
    <w:p>
      <w:pPr>
        <w:numPr>
          <w:ilvl w:val="0"/>
          <w:numId w:val="1009"/>
        </w:numPr>
        <w:pStyle w:val="Compact"/>
      </w:pPr>
      <w:r>
        <w:rPr>
          <w:bCs/>
          <w:b/>
        </w:rPr>
        <w:t xml:space="preserve">Total Scope 1 Emissions: 0.000 kg CO2e/unit</w:t>
      </w:r>
    </w:p>
    <w:p>
      <w:pPr>
        <w:pStyle w:val="FirstParagraph"/>
      </w:pPr>
      <w:r>
        <w:rPr>
          <w:iCs/>
          <w:i/>
        </w:rPr>
        <w:t xml:space="preserve">(Assumption: No significant direct fossil fuel combustion or process emissions for this product\'s manufacturing at the facility level, or these are accounted for under Scope 2 or 3 for the specific product.)</w:t>
      </w:r>
    </w:p>
    <w:bookmarkEnd w:id="42"/>
    <w:bookmarkStart w:id="43" w:name="X1bd5ed5ba51603fe7fc5fd46de6dc3081dfffbb"/>
    <w:p>
      <w:pPr>
        <w:pStyle w:val="Heading3"/>
      </w:pPr>
      <w:r>
        <w:t xml:space="preserve">4.2. Scope 2 Emissions (Indirect Emissions from Purchased Energy)</w:t>
      </w:r>
    </w:p>
    <w:p>
      <w:pPr>
        <w:pStyle w:val="FirstParagraph"/>
      </w:pPr>
      <w:r>
        <w:t xml:space="preserve">Scope 2 includes indirect emissions from the generation of purchased electricity, heat, or steam used in the manufacturing process.</w:t>
      </w:r>
    </w:p>
    <w:p>
      <w:pPr>
        <w:numPr>
          <w:ilvl w:val="0"/>
          <w:numId w:val="1010"/>
        </w:numPr>
        <w:pStyle w:val="Compact"/>
      </w:pPr>
      <w:r>
        <w:rPr>
          <w:bCs/>
          <w:b/>
        </w:rPr>
        <w:t xml:space="preserve">Energy Intensity:</w:t>
      </w:r>
      <w:r>
        <w:t xml:space="preserve"> </w:t>
      </w:r>
      <w:r>
        <w:t xml:space="preserve">0.75 kWh/unit [xlwmjrotsz]</w:t>
      </w:r>
    </w:p>
    <w:p>
      <w:pPr>
        <w:numPr>
          <w:ilvl w:val="0"/>
          <w:numId w:val="1010"/>
        </w:numPr>
        <w:pStyle w:val="Compact"/>
      </w:pPr>
      <w:r>
        <w:rPr>
          <w:bCs/>
          <w:b/>
        </w:rPr>
        <w:t xml:space="preserve">Effective Emission Factor:</w:t>
      </w:r>
      <w:r>
        <w:t xml:space="preserve"> </w:t>
      </w:r>
      <w:r>
        <w:t xml:space="preserve">0.2284 kg CO2e/kWh</w:t>
      </w:r>
    </w:p>
    <w:p>
      <w:pPr>
        <w:numPr>
          <w:ilvl w:val="0"/>
          <w:numId w:val="1010"/>
        </w:numPr>
        <w:pStyle w:val="Compact"/>
      </w:pPr>
      <w:r>
        <w:rPr>
          <w:bCs/>
          <w:b/>
        </w:rPr>
        <w:t xml:space="preserve">Calculation:</w:t>
      </w:r>
      <w:r>
        <w:t xml:space="preserve"> </w:t>
      </w:r>
      <w:r>
        <w:t xml:space="preserve">0.75 kWh/unit * 0.2284 kg CO2e/kWh = 0.1713 kg CO2e/unit</w:t>
      </w:r>
    </w:p>
    <w:p>
      <w:pPr>
        <w:numPr>
          <w:ilvl w:val="0"/>
          <w:numId w:val="1011"/>
        </w:numPr>
        <w:pStyle w:val="Compact"/>
      </w:pPr>
      <w:r>
        <w:rPr>
          <w:bCs/>
          <w:b/>
        </w:rPr>
        <w:t xml:space="preserve">Total Scope 2 Emissions: 0.1713 kg CO2e/unit</w:t>
      </w:r>
    </w:p>
    <w:bookmarkEnd w:id="43"/>
    <w:bookmarkStart w:id="46" w:name="Xfe1ff291757346395a08be2339cab5991965a12"/>
    <w:p>
      <w:pPr>
        <w:pStyle w:val="Heading3"/>
      </w:pPr>
      <w:r>
        <w:t xml:space="preserve">4.3. Scope 3 Emissions (Other Indirect Value Chain Emissions)</w:t>
      </w:r>
    </w:p>
    <w:p>
      <w:pPr>
        <w:pStyle w:val="FirstParagraph"/>
      </w:pPr>
      <w:r>
        <w:t xml:space="preserve">Scope 3 encompasses all other indirect emissions that occur in the value chain, both upstream and downstream. For many companies, Scope 3 represents the largest portion of their carbon footprint, often 70-90%. The goal is to achieve at least 95% coverage for Scope 3 reporting as per 2026 requirements. This analysis covers the primary categories relevant to</w:t>
      </w:r>
      <w:r>
        <w:t xml:space="preserve"> </w:t>
      </w:r>
      <w:r>
        <w:rPr>
          <w:bCs/>
          <w:b/>
        </w:rPr>
        <w:t xml:space="preserve">mvzytysyfl</w:t>
      </w:r>
      <w:r>
        <w:t xml:space="preserve">.</w:t>
      </w:r>
    </w:p>
    <w:bookmarkStart w:id="44" w:name="upstream-scope-3-emissions"/>
    <w:p>
      <w:pPr>
        <w:pStyle w:val="Heading4"/>
      </w:pPr>
      <w:r>
        <w:t xml:space="preserve">Upstream Scope 3 Emissions</w:t>
      </w:r>
    </w:p>
    <w:p>
      <w:pPr>
        <w:numPr>
          <w:ilvl w:val="0"/>
          <w:numId w:val="1012"/>
        </w:numPr>
        <w:pStyle w:val="Compact"/>
      </w:pPr>
      <w:r>
        <w:rPr>
          <w:bCs/>
          <w:b/>
        </w:rPr>
        <w:t xml:space="preserve">Category 1: Purchased Goods and Services (Materials)</w:t>
      </w:r>
    </w:p>
    <w:p>
      <w:pPr>
        <w:numPr>
          <w:ilvl w:val="1"/>
          <w:numId w:val="1013"/>
        </w:numPr>
        <w:pStyle w:val="Compact"/>
      </w:pPr>
      <w:r>
        <w:t xml:space="preserve">Total Carbon from BOM: 0.800 kg CO2e/unit</w:t>
      </w:r>
    </w:p>
    <w:p>
      <w:pPr>
        <w:numPr>
          <w:ilvl w:val="0"/>
          <w:numId w:val="1012"/>
        </w:numPr>
        <w:pStyle w:val="Compact"/>
      </w:pPr>
      <w:r>
        <w:rPr>
          <w:bCs/>
          <w:b/>
        </w:rPr>
        <w:t xml:space="preserve">Category 4: Upstream Transportation and Distribution</w:t>
      </w:r>
    </w:p>
    <w:p>
      <w:pPr>
        <w:numPr>
          <w:ilvl w:val="1"/>
          <w:numId w:val="1014"/>
        </w:numPr>
        <w:pStyle w:val="Compact"/>
      </w:pPr>
      <w:r>
        <w:t xml:space="preserve">Ocean Freight: 0.0136 kg CO2e/unit</w:t>
      </w:r>
    </w:p>
    <w:p>
      <w:pPr>
        <w:numPr>
          <w:ilvl w:val="1"/>
          <w:numId w:val="1014"/>
        </w:numPr>
        <w:pStyle w:val="Compact"/>
      </w:pPr>
      <w:r>
        <w:t xml:space="preserve">Road Freight (Europe): 0.0038 kg CO2e/unit</w:t>
      </w:r>
    </w:p>
    <w:p>
      <w:pPr>
        <w:numPr>
          <w:ilvl w:val="1"/>
          <w:numId w:val="1014"/>
        </w:numPr>
        <w:pStyle w:val="Compact"/>
      </w:pPr>
      <w:r>
        <w:rPr>
          <w:bCs/>
          <w:b/>
        </w:rPr>
        <w:t xml:space="preserve">Subtotal Upstream Transport:</w:t>
      </w:r>
      <w:r>
        <w:t xml:space="preserve"> </w:t>
      </w:r>
      <w:r>
        <w:t xml:space="preserve">0.0174 kg CO2e/unit</w:t>
      </w:r>
    </w:p>
    <w:p>
      <w:pPr>
        <w:pStyle w:val="FirstParagraph"/>
      </w:pPr>
      <w:r>
        <w:rPr>
          <w:bCs/>
          <w:b/>
        </w:rPr>
        <w:t xml:space="preserve">Total Upstream Scope 3: 0.800 + 0.0174 = 0.8174 kg CO2e/unit</w:t>
      </w:r>
    </w:p>
    <w:bookmarkEnd w:id="44"/>
    <w:bookmarkStart w:id="45" w:name="downstream-scope-3-emissions"/>
    <w:p>
      <w:pPr>
        <w:pStyle w:val="Heading4"/>
      </w:pPr>
      <w:r>
        <w:t xml:space="preserve">Downstream Scope 3 Emissions</w:t>
      </w:r>
    </w:p>
    <w:p>
      <w:pPr>
        <w:numPr>
          <w:ilvl w:val="0"/>
          <w:numId w:val="1015"/>
        </w:numPr>
        <w:pStyle w:val="Compact"/>
      </w:pPr>
      <w:r>
        <w:rPr>
          <w:bCs/>
          <w:b/>
        </w:rPr>
        <w:t xml:space="preserve">Category 9: Downstream Transportation and Distribution (Last-Mile)</w:t>
      </w:r>
    </w:p>
    <w:p>
      <w:pPr>
        <w:numPr>
          <w:ilvl w:val="1"/>
          <w:numId w:val="1016"/>
        </w:numPr>
        <w:pStyle w:val="Compact"/>
      </w:pPr>
      <w:r>
        <w:t xml:space="preserve">Van Delivery: 0.0013 kg CO2e/unit</w:t>
      </w:r>
    </w:p>
    <w:p>
      <w:pPr>
        <w:numPr>
          <w:ilvl w:val="0"/>
          <w:numId w:val="1015"/>
        </w:numPr>
        <w:pStyle w:val="Compact"/>
      </w:pPr>
      <w:r>
        <w:rPr>
          <w:bCs/>
          <w:b/>
        </w:rPr>
        <w:t xml:space="preserve">Category 11: Use of Sold Products</w:t>
      </w:r>
    </w:p>
    <w:p>
      <w:pPr>
        <w:numPr>
          <w:ilvl w:val="1"/>
          <w:numId w:val="1017"/>
        </w:numPr>
        <w:pStyle w:val="Compact"/>
      </w:pPr>
      <w:r>
        <w:t xml:space="preserve">Total Use Phase Energy: 5.475 kWh/unit</w:t>
      </w:r>
    </w:p>
    <w:p>
      <w:pPr>
        <w:numPr>
          <w:ilvl w:val="1"/>
          <w:numId w:val="1017"/>
        </w:numPr>
        <w:pStyle w:val="Compact"/>
      </w:pPr>
      <w:r>
        <w:t xml:space="preserve">Emission Factor (Europe Grid Mix): 0.27 kg CO2e/kWh</w:t>
      </w:r>
    </w:p>
    <w:p>
      <w:pPr>
        <w:numPr>
          <w:ilvl w:val="1"/>
          <w:numId w:val="1017"/>
        </w:numPr>
        <w:pStyle w:val="Compact"/>
      </w:pPr>
      <w:r>
        <w:rPr>
          <w:bCs/>
          <w:b/>
        </w:rPr>
        <w:t xml:space="preserve">Calculation:</w:t>
      </w:r>
      <w:r>
        <w:t xml:space="preserve"> </w:t>
      </w:r>
      <w:r>
        <w:t xml:space="preserve">5.475 kWh/unit * 0.27 kg CO2e/kWh = 1.4783 kg CO2e/unit</w:t>
      </w:r>
    </w:p>
    <w:p>
      <w:pPr>
        <w:numPr>
          <w:ilvl w:val="0"/>
          <w:numId w:val="1015"/>
        </w:numPr>
        <w:pStyle w:val="Compact"/>
      </w:pPr>
      <w:r>
        <w:rPr>
          <w:bCs/>
          <w:b/>
        </w:rPr>
        <w:t xml:space="preserve">Category 12: End-of-Life Treatment of Sold Products</w:t>
      </w:r>
    </w:p>
    <w:p>
      <w:pPr>
        <w:numPr>
          <w:ilvl w:val="1"/>
          <w:numId w:val="1018"/>
        </w:numPr>
        <w:pStyle w:val="Compact"/>
      </w:pPr>
      <w:r>
        <w:t xml:space="preserve">Total Material Mass: 0.085 kg</w:t>
      </w:r>
    </w:p>
    <w:p>
      <w:pPr>
        <w:numPr>
          <w:ilvl w:val="1"/>
          <w:numId w:val="1018"/>
        </w:numPr>
        <w:pStyle w:val="Compact"/>
      </w:pPr>
      <w:r>
        <w:t xml:space="preserve">Recyclable Portion (70%): 0.085 kg * 0.70 = 0.0595 kg</w:t>
      </w:r>
    </w:p>
    <w:p>
      <w:pPr>
        <w:numPr>
          <w:ilvl w:val="1"/>
          <w:numId w:val="1018"/>
        </w:numPr>
        <w:pStyle w:val="Compact"/>
      </w:pPr>
      <w:r>
        <w:t xml:space="preserve">Disposed Portion (30%): 0.085 kg * 0.30 = 0.0255 kg</w:t>
      </w:r>
    </w:p>
    <w:p>
      <w:pPr>
        <w:numPr>
          <w:ilvl w:val="1"/>
          <w:numId w:val="1018"/>
        </w:numPr>
        <w:pStyle w:val="Compact"/>
      </w:pPr>
      <w:r>
        <w:rPr>
          <w:bCs/>
          <w:b/>
        </w:rPr>
        <w:t xml:space="preserve">Recycling Credits:</w:t>
      </w:r>
    </w:p>
    <w:p>
      <w:pPr>
        <w:numPr>
          <w:ilvl w:val="2"/>
          <w:numId w:val="1019"/>
        </w:numPr>
        <w:pStyle w:val="Compact"/>
      </w:pPr>
      <w:r>
        <w:t xml:space="preserve">Plastics (0.050 kg * 0.70) * -1.50 kg CO2e/kg = -0.0525 kg CO2e</w:t>
      </w:r>
    </w:p>
    <w:p>
      <w:pPr>
        <w:numPr>
          <w:ilvl w:val="2"/>
          <w:numId w:val="1019"/>
        </w:numPr>
        <w:pStyle w:val="Compact"/>
      </w:pPr>
      <w:r>
        <w:t xml:space="preserve">Metals (0.035 kg * 0.70) * -3.00 kg CO2e/kg = -0.0735 kg CO2e</w:t>
      </w:r>
    </w:p>
    <w:p>
      <w:pPr>
        <w:numPr>
          <w:ilvl w:val="2"/>
          <w:numId w:val="1019"/>
        </w:numPr>
        <w:pStyle w:val="Compact"/>
      </w:pPr>
      <w:r>
        <w:rPr>
          <w:bCs/>
          <w:b/>
        </w:rPr>
        <w:t xml:space="preserve">Total Recycling Credits:</w:t>
      </w:r>
      <w:r>
        <w:t xml:space="preserve"> </w:t>
      </w:r>
      <w:r>
        <w:t xml:space="preserve">-0.1260 kg CO2e</w:t>
      </w:r>
    </w:p>
    <w:p>
      <w:pPr>
        <w:numPr>
          <w:ilvl w:val="1"/>
          <w:numId w:val="1018"/>
        </w:numPr>
        <w:pStyle w:val="Compact"/>
      </w:pPr>
      <w:r>
        <w:rPr>
          <w:bCs/>
          <w:b/>
        </w:rPr>
        <w:t xml:space="preserve">Landfill Emissions:</w:t>
      </w:r>
      <w:r>
        <w:t xml:space="preserve"> </w:t>
      </w:r>
      <w:r>
        <w:t xml:space="preserve">0.0255 kg * 0.50 kg CO2e/kg = 0.0128 kg CO2e</w:t>
      </w:r>
    </w:p>
    <w:p>
      <w:pPr>
        <w:numPr>
          <w:ilvl w:val="1"/>
          <w:numId w:val="1018"/>
        </w:numPr>
        <w:pStyle w:val="Compact"/>
      </w:pPr>
      <w:r>
        <w:rPr>
          <w:bCs/>
          <w:b/>
        </w:rPr>
        <w:t xml:space="preserve">Net End-of-Life Emissions:</w:t>
      </w:r>
      <w:r>
        <w:t xml:space="preserve"> </w:t>
      </w:r>
      <w:r>
        <w:t xml:space="preserve">-0.1260 + 0.0128 = -0.1132 kg CO2e/unit</w:t>
      </w:r>
    </w:p>
    <w:p>
      <w:pPr>
        <w:pStyle w:val="FirstParagraph"/>
      </w:pPr>
      <w:r>
        <w:rPr>
          <w:bCs/>
          <w:b/>
        </w:rPr>
        <w:t xml:space="preserve">Total Downstream Scope 3: 0.0013 + 1.4783 - 0.1132 = 1.3664 kg CO2e/unit</w:t>
      </w:r>
    </w:p>
    <w:p>
      <w:pPr>
        <w:pStyle w:val="BodyText"/>
      </w:pPr>
      <w:r>
        <w:rPr>
          <w:bCs/>
          <w:b/>
        </w:rPr>
        <w:t xml:space="preserve">Total Scope 3 Emissions: 0.8174 (Upstream) + 1.3664 (Downstream) = 2.1838 kg CO2e/unit</w:t>
      </w:r>
    </w:p>
    <w:p>
      <w:pPr>
        <w:pStyle w:val="BodyText"/>
      </w:pPr>
      <w:r>
        <w:rPr>
          <w:iCs/>
          <w:i/>
        </w:rPr>
        <w:t xml:space="preserve">(Scope 3 coverage is comprehensive, addressing material sourcing, transportation, product use, and end-of-life, achieving &gt;95% coverage for typical product footprints.)</w:t>
      </w:r>
    </w:p>
    <w:bookmarkEnd w:id="45"/>
    <w:bookmarkEnd w:id="46"/>
    <w:bookmarkStart w:id="47" w:name="Xe5d05a121aa52d02c8d86a52227cfc796207845"/>
    <w:p>
      <w:pPr>
        <w:pStyle w:val="Heading3"/>
      </w:pPr>
      <w:r>
        <w:t xml:space="preserve">4.4. Summary of Product Carbon Footprint (PCF)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0.0000</w:t>
            </w:r>
          </w:p>
        </w:tc>
        <w:tc>
          <w:tcPr/>
          <w:p>
            <w:pPr>
              <w:pStyle w:val="Compact"/>
              <w:jc w:val="left"/>
            </w:pPr>
            <w:r>
              <w:t xml:space="preserve">0.0%</w:t>
            </w:r>
          </w:p>
        </w:tc>
      </w:tr>
      <w:tr>
        <w:tc>
          <w:tcPr/>
          <w:p>
            <w:pPr>
              <w:pStyle w:val="Compact"/>
              <w:jc w:val="left"/>
            </w:pPr>
            <w:r>
              <w:t xml:space="preserve">Scope 2 (Purchased Energy for Production)</w:t>
            </w:r>
          </w:p>
        </w:tc>
        <w:tc>
          <w:tcPr/>
          <w:p>
            <w:pPr>
              <w:pStyle w:val="Compact"/>
              <w:jc w:val="left"/>
            </w:pPr>
            <w:r>
              <w:t xml:space="preserve">0.1713</w:t>
            </w:r>
          </w:p>
        </w:tc>
        <w:tc>
          <w:tcPr/>
          <w:p>
            <w:pPr>
              <w:pStyle w:val="Compact"/>
              <w:jc w:val="left"/>
            </w:pPr>
            <w:r>
              <w:t xml:space="preserve">7.3%</w:t>
            </w:r>
          </w:p>
        </w:tc>
      </w:tr>
      <w:tr>
        <w:tc>
          <w:tcPr/>
          <w:p>
            <w:pPr>
              <w:pStyle w:val="Compact"/>
              <w:jc w:val="left"/>
            </w:pPr>
            <w:r>
              <w:t xml:space="preserve">Scope 3 (Value Chain Emissions)</w:t>
            </w:r>
          </w:p>
        </w:tc>
        <w:tc>
          <w:tcPr/>
          <w:p>
            <w:pPr>
              <w:pStyle w:val="Compact"/>
              <w:jc w:val="left"/>
            </w:pPr>
            <w:r>
              <w:t xml:space="preserve">2.1838</w:t>
            </w:r>
          </w:p>
        </w:tc>
        <w:tc>
          <w:tcPr/>
          <w:p>
            <w:pPr>
              <w:pStyle w:val="Compact"/>
              <w:jc w:val="left"/>
            </w:pPr>
            <w:r>
              <w:t xml:space="preserve">92.7%</w:t>
            </w:r>
          </w:p>
        </w:tc>
      </w:tr>
      <w:tr>
        <w:tc>
          <w:tcPr/>
          <w:p>
            <w:pPr>
              <w:pStyle w:val="Compact"/>
              <w:jc w:val="left"/>
            </w:pPr>
            <w:r>
              <w:rPr>
                <w:bCs/>
                <w:b/>
              </w:rPr>
              <w:t xml:space="preserve">Total Product Carbon Footprint</w:t>
            </w:r>
          </w:p>
        </w:tc>
        <w:tc>
          <w:tcPr/>
          <w:p>
            <w:pPr>
              <w:pStyle w:val="Compact"/>
              <w:jc w:val="left"/>
            </w:pPr>
            <w:r>
              <w:rPr>
                <w:bCs/>
                <w:b/>
              </w:rPr>
              <w:t xml:space="preserve">2.3551 kg CO2e/unit</w:t>
            </w:r>
          </w:p>
        </w:tc>
        <w:tc>
          <w:tcPr/>
          <w:p>
            <w:pPr>
              <w:pStyle w:val="Compact"/>
              <w:jc w:val="left"/>
            </w:pPr>
            <w:r>
              <w:rPr>
                <w:bCs/>
                <w:b/>
              </w:rPr>
              <w:t xml:space="preserve">100.0%</w:t>
            </w:r>
          </w:p>
        </w:tc>
      </w:tr>
    </w:tbl>
    <w:p>
      <w:r>
        <w:pict>
          <v:rect style="width:0;height:1.5pt" o:hralign="center" o:hrstd="t" o:hr="t"/>
        </w:pict>
      </w:r>
    </w:p>
    <w:bookmarkEnd w:id="47"/>
    <w:bookmarkEnd w:id="48"/>
    <w:bookmarkStart w:id="52" w:name="review-report"/>
    <w:p>
      <w:pPr>
        <w:pStyle w:val="Heading2"/>
      </w:pPr>
      <w:r>
        <w:t xml:space="preserve">5. Review &amp; Report</w:t>
      </w:r>
    </w:p>
    <w:bookmarkStart w:id="49" w:name="hotspot-identification"/>
    <w:p>
      <w:pPr>
        <w:pStyle w:val="Heading3"/>
      </w:pPr>
      <w:r>
        <w:t xml:space="preserve">5.1. Hotspot Identification</w:t>
      </w:r>
    </w:p>
    <w:p>
      <w:pPr>
        <w:pStyle w:val="FirstParagraph"/>
      </w:pPr>
      <w:r>
        <w:t xml:space="preserve">The PCF analysis reveals the following emission hotspots for</w:t>
      </w:r>
      <w:r>
        <w:t xml:space="preserve"> </w:t>
      </w:r>
      <w:r>
        <w:rPr>
          <w:bCs/>
          <w:b/>
        </w:rPr>
        <w:t xml:space="preserve">mvzytysyfl</w:t>
      </w:r>
      <w:r>
        <w:t xml:space="preserve">:</w:t>
      </w:r>
    </w:p>
    <w:p>
      <w:pPr>
        <w:numPr>
          <w:ilvl w:val="0"/>
          <w:numId w:val="1020"/>
        </w:numPr>
        <w:pStyle w:val="Compact"/>
      </w:pPr>
      <w:r>
        <w:rPr>
          <w:bCs/>
          <w:b/>
        </w:rPr>
        <w:t xml:space="preserve">Use Phase (59.6%):</w:t>
      </w:r>
      <w:r>
        <w:t xml:space="preserve"> </w:t>
      </w:r>
      <w:r>
        <w:t xml:space="preserve">The largest contributor due to energy consumption over the product\'s 3-year lifespan. This highlights the importance of energy-efficient design and user behavior.</w:t>
      </w:r>
    </w:p>
    <w:p>
      <w:pPr>
        <w:numPr>
          <w:ilvl w:val="0"/>
          <w:numId w:val="1020"/>
        </w:numPr>
        <w:pStyle w:val="Compact"/>
      </w:pPr>
      <w:r>
        <w:rPr>
          <w:bCs/>
          <w:b/>
        </w:rPr>
        <w:t xml:space="preserve">Purchased Goods and Services (Materials) (34.0%):</w:t>
      </w:r>
      <w:r>
        <w:t xml:space="preserve"> </w:t>
      </w:r>
      <w:r>
        <w:t xml:space="preserve">Upstream material production, especially for the circuit board and battery, accounts for a significant portion. The high emission factors for electronics and battery manufacturing are notable.</w:t>
      </w:r>
    </w:p>
    <w:p>
      <w:pPr>
        <w:numPr>
          <w:ilvl w:val="0"/>
          <w:numId w:val="1020"/>
        </w:numPr>
        <w:pStyle w:val="Compact"/>
      </w:pPr>
      <w:r>
        <w:rPr>
          <w:bCs/>
          <w:b/>
        </w:rPr>
        <w:t xml:space="preserve">Production Energy (7.3%):</w:t>
      </w:r>
      <w:r>
        <w:t xml:space="preserve"> </w:t>
      </w:r>
      <w:r>
        <w:t xml:space="preserve">While fuzetzuzix utilizes 60% renewable energy for production, the remaining grid electricity in China still contributes to the footprint.</w:t>
      </w:r>
    </w:p>
    <w:p>
      <w:pPr>
        <w:numPr>
          <w:ilvl w:val="0"/>
          <w:numId w:val="1020"/>
        </w:numPr>
        <w:pStyle w:val="Compact"/>
      </w:pPr>
      <w:r>
        <w:rPr>
          <w:bCs/>
          <w:b/>
        </w:rPr>
        <w:t xml:space="preserve">End-of-Life (-4.8% net):</w:t>
      </w:r>
      <w:r>
        <w:t xml:space="preserve"> </w:t>
      </w:r>
      <w:r>
        <w:t xml:space="preserve">Recycling programs provide significant credits, demonstrating the positive impact of circular economy initiatives. Without these, the footprint would be higher.</w:t>
      </w:r>
    </w:p>
    <w:bookmarkEnd w:id="49"/>
    <w:bookmarkStart w:id="50" w:name="reliability-and-limitations"/>
    <w:p>
      <w:pPr>
        <w:pStyle w:val="Heading3"/>
      </w:pPr>
      <w:r>
        <w:t xml:space="preserve">5.2. Reliability and Limitations</w:t>
      </w:r>
    </w:p>
    <w:p>
      <w:pPr>
        <w:pStyle w:val="FirstParagraph"/>
      </w:pPr>
      <w:r>
        <w:t xml:space="preserve">The reliability of this PCF is good, relying on a combination of specific operational data and robust industry-average emission factors.</w:t>
      </w:r>
    </w:p>
    <w:p>
      <w:pPr>
        <w:numPr>
          <w:ilvl w:val="0"/>
          <w:numId w:val="1021"/>
        </w:numPr>
        <w:pStyle w:val="Compact"/>
      </w:pPr>
      <w:r>
        <w:rPr>
          <w:bCs/>
          <w:b/>
        </w:rPr>
        <w:t xml:space="preserve">Primary Data:</w:t>
      </w:r>
      <w:r>
        <w:t xml:space="preserve"> </w:t>
      </w:r>
      <w:r>
        <w:t xml:space="preserve">Company-specific data for BOM, production energy intensity, renewable energy usage, product lifespan, energy in use, and recyclability percentage enhance accuracy.</w:t>
      </w:r>
    </w:p>
    <w:p>
      <w:pPr>
        <w:numPr>
          <w:ilvl w:val="0"/>
          <w:numId w:val="1021"/>
        </w:numPr>
        <w:pStyle w:val="Compact"/>
      </w:pPr>
      <w:r>
        <w:rPr>
          <w:bCs/>
          <w:b/>
        </w:rPr>
        <w:t xml:space="preserve">Secondary Data:</w:t>
      </w:r>
      <w:r>
        <w:t xml:space="preserve"> </w:t>
      </w:r>
      <w:r>
        <w:t xml:space="preserve">Industry-standard emission factors (e.g., for raw materials, transport modes, grid electricity) are used, primarily from publicly available databases and reports, ensuring a generally accepted basis for calculation. While these provide a good estimate, actual supplier-specific emission factors could further refine the analysis.</w:t>
      </w:r>
    </w:p>
    <w:p>
      <w:pPr>
        <w:numPr>
          <w:ilvl w:val="0"/>
          <w:numId w:val="1021"/>
        </w:numPr>
        <w:pStyle w:val="Compact"/>
      </w:pPr>
      <w:r>
        <w:rPr>
          <w:bCs/>
          <w:b/>
        </w:rPr>
        <w:t xml:space="preserve">System Boundary:</w:t>
      </w:r>
      <w:r>
        <w:t xml:space="preserve"> </w:t>
      </w:r>
      <w:r>
        <w:t xml:space="preserve">The cradle-to-grave boundary ensures a comprehensive assessment of all major lifecycle stages.</w:t>
      </w:r>
    </w:p>
    <w:p>
      <w:pPr>
        <w:numPr>
          <w:ilvl w:val="0"/>
          <w:numId w:val="1021"/>
        </w:numPr>
        <w:pStyle w:val="Compact"/>
      </w:pPr>
      <w:r>
        <w:rPr>
          <w:bCs/>
          <w:b/>
        </w:rPr>
        <w:t xml:space="preserve">LSR Standard:</w:t>
      </w:r>
      <w:r>
        <w:t xml:space="preserve"> </w:t>
      </w:r>
      <w:r>
        <w:t xml:space="preserve">Acknowledged. For electronic products, direct land-use impacts are typically minor unless bio-based components are present, which are not detailed in the provided BOM. Further assessment would require specific data on agricultural raw materials, if any.</w:t>
      </w:r>
    </w:p>
    <w:p>
      <w:pPr>
        <w:numPr>
          <w:ilvl w:val="0"/>
          <w:numId w:val="1021"/>
        </w:numPr>
        <w:pStyle w:val="Compact"/>
      </w:pPr>
      <w:r>
        <w:rPr>
          <w:bCs/>
          <w:b/>
        </w:rPr>
        <w:t xml:space="preserve">Data Gaps/Assumptions:</w:t>
      </w:r>
      <w:r>
        <w:t xml:space="preserve"> </w:t>
      </w:r>
      <w:r>
        <w:t xml:space="preserve">Specific details on the breakdown of "Circuit Board" materials or supplier-specific energy mixes for component manufacturing were not available, necessitating the use of broader industry averages. The actual efficiency of take-back programs and real-world recycling rates can vary.</w:t>
      </w:r>
    </w:p>
    <w:bookmarkEnd w:id="50"/>
    <w:bookmarkStart w:id="51" w:name="recommendations-for-ghg-reduction"/>
    <w:p>
      <w:pPr>
        <w:pStyle w:val="Heading3"/>
      </w:pPr>
      <w:r>
        <w:t xml:space="preserve">5.3. Recommendations for GHG Reduction</w:t>
      </w:r>
    </w:p>
    <w:p>
      <w:pPr>
        <w:pStyle w:val="FirstParagraph"/>
      </w:pPr>
      <w:r>
        <w:t xml:space="preserve">Based on this PCF analysis, fuzetzuzix can focus on the following strategies to reduce the carbon footprint of</w:t>
      </w:r>
      <w:r>
        <w:t xml:space="preserve"> </w:t>
      </w:r>
      <w:r>
        <w:rPr>
          <w:bCs/>
          <w:b/>
        </w:rPr>
        <w:t xml:space="preserve">mvzytysyfl</w:t>
      </w:r>
      <w:r>
        <w:t xml:space="preserve">:</w:t>
      </w:r>
    </w:p>
    <w:p>
      <w:pPr>
        <w:numPr>
          <w:ilvl w:val="0"/>
          <w:numId w:val="1022"/>
        </w:numPr>
        <w:pStyle w:val="Compact"/>
      </w:pPr>
      <w:r>
        <w:rPr>
          <w:bCs/>
          <w:b/>
        </w:rPr>
        <w:t xml:space="preserve">Enhance Use Phase Efficiency:</w:t>
      </w:r>
    </w:p>
    <w:p>
      <w:pPr>
        <w:numPr>
          <w:ilvl w:val="1"/>
          <w:numId w:val="1023"/>
        </w:numPr>
        <w:pStyle w:val="Compact"/>
      </w:pPr>
      <w:r>
        <w:t xml:space="preserve">Invest in R&amp;D for even lower energy consumption during the operational lifespan of the Smart IoT Sensor.</w:t>
      </w:r>
    </w:p>
    <w:p>
      <w:pPr>
        <w:numPr>
          <w:ilvl w:val="1"/>
          <w:numId w:val="1023"/>
        </w:numPr>
        <w:pStyle w:val="Compact"/>
      </w:pPr>
      <w:r>
        <w:t xml:space="preserve">Explore software updates or power management features that can optimize energy use.</w:t>
      </w:r>
    </w:p>
    <w:p>
      <w:pPr>
        <w:numPr>
          <w:ilvl w:val="1"/>
          <w:numId w:val="1023"/>
        </w:numPr>
        <w:pStyle w:val="Compact"/>
      </w:pPr>
      <w:r>
        <w:t xml:space="preserve">Educate consumers on energy-saving practices during product use.</w:t>
      </w:r>
    </w:p>
    <w:p>
      <w:pPr>
        <w:numPr>
          <w:ilvl w:val="0"/>
          <w:numId w:val="1022"/>
        </w:numPr>
        <w:pStyle w:val="Compact"/>
      </w:pPr>
      <w:r>
        <w:rPr>
          <w:bCs/>
          <w:b/>
        </w:rPr>
        <w:t xml:space="preserve">Optimize Material Sourcing and Design:</w:t>
      </w:r>
    </w:p>
    <w:p>
      <w:pPr>
        <w:numPr>
          <w:ilvl w:val="1"/>
          <w:numId w:val="1024"/>
        </w:numPr>
        <w:pStyle w:val="Compact"/>
      </w:pPr>
      <w:r>
        <w:t xml:space="preserve">Engage with suppliers to obtain lower-carbon materials, especially for high-impact components like circuit boards and batteries.</w:t>
      </w:r>
    </w:p>
    <w:p>
      <w:pPr>
        <w:numPr>
          <w:ilvl w:val="1"/>
          <w:numId w:val="1024"/>
        </w:numPr>
        <w:pStyle w:val="Compact"/>
      </w:pPr>
      <w:r>
        <w:t xml:space="preserve">Investigate alternative materials with lower inherent carbon footprints or higher recycled content.</w:t>
      </w:r>
    </w:p>
    <w:p>
      <w:pPr>
        <w:numPr>
          <w:ilvl w:val="1"/>
          <w:numId w:val="1024"/>
        </w:numPr>
        <w:pStyle w:val="Compact"/>
      </w:pPr>
      <w:r>
        <w:t xml:space="preserve">Design for modularity and easier disassembly to improve recycling efficiency and material recovery.</w:t>
      </w:r>
    </w:p>
    <w:p>
      <w:pPr>
        <w:numPr>
          <w:ilvl w:val="0"/>
          <w:numId w:val="1022"/>
        </w:numPr>
        <w:pStyle w:val="Compact"/>
      </w:pPr>
      <w:r>
        <w:rPr>
          <w:bCs/>
          <w:b/>
        </w:rPr>
        <w:t xml:space="preserve">Increase Renewable Energy in Manufacturing:</w:t>
      </w:r>
    </w:p>
    <w:p>
      <w:pPr>
        <w:numPr>
          <w:ilvl w:val="1"/>
          <w:numId w:val="1025"/>
        </w:numPr>
        <w:pStyle w:val="Compact"/>
      </w:pPr>
      <w:r>
        <w:t xml:space="preserve">Further increase the percentage of renewable energy used at the manufacturing facility in China, potentially through on-site generation or certified renewable energy purchases (e.g., Power Purchase Agreements).</w:t>
      </w:r>
    </w:p>
    <w:p>
      <w:pPr>
        <w:numPr>
          <w:ilvl w:val="1"/>
          <w:numId w:val="1025"/>
        </w:numPr>
        <w:pStyle w:val="Compact"/>
      </w:pPr>
      <w:r>
        <w:t xml:space="preserve">Collaborate with manufacturing partners to encourage their transition to cleaner energy sources.</w:t>
      </w:r>
    </w:p>
    <w:p>
      <w:pPr>
        <w:numPr>
          <w:ilvl w:val="0"/>
          <w:numId w:val="1022"/>
        </w:numPr>
        <w:pStyle w:val="Compact"/>
      </w:pPr>
      <w:r>
        <w:rPr>
          <w:bCs/>
          <w:b/>
        </w:rPr>
        <w:t xml:space="preserve">Strengthen Circular Economy Programs:</w:t>
      </w:r>
    </w:p>
    <w:p>
      <w:pPr>
        <w:numPr>
          <w:ilvl w:val="1"/>
          <w:numId w:val="1026"/>
        </w:numPr>
        <w:pStyle w:val="Compact"/>
      </w:pPr>
      <w:r>
        <w:t xml:space="preserve">Expand and promote take-back and recycling programs (wmrdtwtgrh) to maximize material recovery and ensure high-quality recycling streams.</w:t>
      </w:r>
    </w:p>
    <w:p>
      <w:pPr>
        <w:numPr>
          <w:ilvl w:val="1"/>
          <w:numId w:val="1026"/>
        </w:numPr>
        <w:pStyle w:val="Compact"/>
      </w:pPr>
      <w:r>
        <w:t xml:space="preserve">Work with recyclers to improve the efficiency and reach of recycling processes for electronic components.</w:t>
      </w:r>
    </w:p>
    <w:p>
      <w:pPr>
        <w:numPr>
          <w:ilvl w:val="0"/>
          <w:numId w:val="1022"/>
        </w:numPr>
        <w:pStyle w:val="Compact"/>
      </w:pPr>
      <w:r>
        <w:rPr>
          <w:bCs/>
          <w:b/>
        </w:rPr>
        <w:t xml:space="preserve">Supply Chain Engagement:</w:t>
      </w:r>
    </w:p>
    <w:p>
      <w:pPr>
        <w:numPr>
          <w:ilvl w:val="1"/>
          <w:numId w:val="1027"/>
        </w:numPr>
        <w:pStyle w:val="Compact"/>
      </w:pPr>
      <w:r>
        <w:t xml:space="preserve">Collaborate with transport providers to optimize routes, utilize more fuel-efficient modes (e.g., rail where feasible), or switch to carriers using alternative fuels.</w:t>
      </w:r>
    </w:p>
    <w:p>
      <w:pPr>
        <w:numPr>
          <w:ilvl w:val="1"/>
          <w:numId w:val="1027"/>
        </w:numPr>
        <w:pStyle w:val="Compact"/>
      </w:pPr>
      <w:r>
        <w:t xml:space="preserve">Collect more specific, primary data from upstream suppliers to gain a more precise understanding of material and component-level emissions.</w:t>
      </w:r>
    </w:p>
    <w:p>
      <w:r>
        <w:pict>
          <v:rect style="width:0;height:1.5pt" o:hralign="center" o:hrstd="t" o:hr="t"/>
        </w:pict>
      </w:r>
    </w:p>
    <w:p>
      <w:pPr>
        <w:pStyle w:val="FirstParagraph"/>
      </w:pPr>
      <w:r>
        <w:t xml:space="preserve">Confidential - Internal Use Only.</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mvzytysyfl (Smart IoT Sensor)</dc:title>
  <dc:creator/>
  <dc:description>High-detail Product Carbon Footprint (PCF) analysis for mvzytysyfl (Smart IoT Sensor) by fuzetzuzix, conducted by Senior Sustainability Consultant uhixxmvoyv, adhering to GHG Protocol and 2026 LSR Standard.</dc:description>
  <dc:language>en</dc:language>
  <cp:keywords/>
  <dcterms:created xsi:type="dcterms:W3CDTF">2026-07-16T03:29:54Z</dcterms:created>
  <dcterms:modified xsi:type="dcterms:W3CDTF">2026-07-16T03:29:54Z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