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mvxslfdmky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mvxslfdmky</w:t>
      </w:r>
    </w:p>
    <w:p>
      <w:pPr>
        <w:pStyle w:val="BodyText"/>
      </w:pPr>
      <w:r>
        <w:t xml:space="preserve">Name of the Company:</w:t>
      </w:r>
      <w:r>
        <w:t xml:space="preserve"> </w:t>
      </w:r>
      <w:r>
        <w:rPr>
          <w:bCs/>
          <w:b/>
        </w:rPr>
        <w:t xml:space="preserve">diqxnoosmz</w:t>
      </w:r>
    </w:p>
    <w:p>
      <w:pPr>
        <w:pStyle w:val="BodyText"/>
      </w:pPr>
      <w:r>
        <w:t xml:space="preserve">Senior Sustainability Consultant:</w:t>
      </w:r>
      <w:r>
        <w:t xml:space="preserve"> </w:t>
      </w:r>
      <w:r>
        <w:rPr>
          <w:bCs/>
          <w:b/>
        </w:rPr>
        <w:t xml:space="preserve">lpvknknkdm</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While every effort has been made to ensure accuracy, the actual environmental impacts may vary. This analysis relies on the provided parameters and generic emission factors where specific primary data was not available.</w:t>
      </w:r>
    </w:p>
    <w:bookmarkEnd w:id="20"/>
    <w:p>
      <w:pPr>
        <w:pStyle w:val="BodyText"/>
      </w:pPr>
      <w:r>
        <w:t xml:space="preserve">Generated Date: May 21,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mvxslfdmky</w:t>
      </w:r>
      <w:r>
        <w:t xml:space="preserve">, manufactured by</w:t>
      </w:r>
      <w:r>
        <w:t xml:space="preserve"> </w:t>
      </w:r>
      <w:r>
        <w:rPr>
          <w:bCs/>
          <w:b/>
        </w:rPr>
        <w:t xml:space="preserve">diqxnoosmz</w:t>
      </w:r>
      <w:r>
        <w:t xml:space="preserve">. Conducted by Senior Sustainability Consultant</w:t>
      </w:r>
      <w:r>
        <w:t xml:space="preserve"> </w:t>
      </w:r>
      <w:r>
        <w:rPr>
          <w:bCs/>
          <w:b/>
        </w:rPr>
        <w:t xml:space="preserve">lpvknknkdm</w:t>
      </w:r>
      <w:r>
        <w:t xml:space="preserve">, this analysis adheres strictly to the GHG Protocol, incorporating the 2026 Land Sector and Removals (LSR) Standard and ensuring over 95% Scope 3 coverage. The PCF quantifies the total greenhouse gas emissions associated with the product\'s lifecycle from raw material acquisition to end-of-life, providing critical insights into environmental performance and identifying key emission hotspots.</w:t>
      </w:r>
    </w:p>
    <w:p>
      <w:r>
        <w:pict>
          <v:rect style="width:0;height:1.5pt" o:hralign="center" o:hrstd="t" o:hr="t"/>
        </w:pict>
      </w:r>
    </w:p>
    <w:bookmarkEnd w:id="21"/>
    <w:bookmarkStart w:id="27" w:name="introduction-and-scope-definition"/>
    <w:p>
      <w:pPr>
        <w:pStyle w:val="Heading1"/>
      </w:pPr>
      <w:r>
        <w:t xml:space="preserve">1. Introduction and Scope Definition</w:t>
      </w:r>
    </w:p>
    <w:bookmarkStart w:id="22" w:name="product-overview"/>
    <w:p>
      <w:pPr>
        <w:pStyle w:val="Heading2"/>
      </w:pPr>
      <w:r>
        <w:t xml:space="preserve">1.1 Product Overview</w:t>
      </w:r>
    </w:p>
    <w:p>
      <w:pPr>
        <w:numPr>
          <w:ilvl w:val="0"/>
          <w:numId w:val="1001"/>
        </w:numPr>
        <w:pStyle w:val="Compact"/>
      </w:pPr>
      <w:r>
        <w:rPr>
          <w:bCs/>
          <w:b/>
        </w:rPr>
        <w:t xml:space="preserve">Product Name:</w:t>
      </w:r>
      <w:r>
        <w:t xml:space="preserve"> </w:t>
      </w:r>
      <w:r>
        <w:t xml:space="preserve">mvxslfdmky</w:t>
      </w:r>
    </w:p>
    <w:p>
      <w:pPr>
        <w:numPr>
          <w:ilvl w:val="0"/>
          <w:numId w:val="1001"/>
        </w:numPr>
        <w:pStyle w:val="Compact"/>
      </w:pPr>
      <w:r>
        <w:rPr>
          <w:bCs/>
          <w:b/>
        </w:rPr>
        <w:t xml:space="preserve">Company Name:</w:t>
      </w:r>
      <w:r>
        <w:t xml:space="preserve"> </w:t>
      </w:r>
      <w:r>
        <w:t xml:space="preserve">diqxnoosmz</w:t>
      </w:r>
    </w:p>
    <w:p>
      <w:pPr>
        <w:numPr>
          <w:ilvl w:val="0"/>
          <w:numId w:val="1001"/>
        </w:numPr>
        <w:pStyle w:val="Compact"/>
      </w:pPr>
      <w:r>
        <w:rPr>
          <w:bCs/>
          <w:b/>
        </w:rPr>
        <w:t xml:space="preserve">Senior Sustainability Consultant:</w:t>
      </w:r>
      <w:r>
        <w:t xml:space="preserve"> </w:t>
      </w:r>
      <w:r>
        <w:t xml:space="preserve">lpvknknkdm</w:t>
      </w:r>
    </w:p>
    <w:p>
      <w:pPr>
        <w:numPr>
          <w:ilvl w:val="0"/>
          <w:numId w:val="1001"/>
        </w:numPr>
        <w:pStyle w:val="Compact"/>
      </w:pPr>
      <w:r>
        <w:rPr>
          <w:bCs/>
          <w:b/>
        </w:rPr>
        <w:t xml:space="preserve">Functional Unit:</w:t>
      </w:r>
      <w:r>
        <w:t xml:space="preserve"> </w:t>
      </w:r>
      <w:r>
        <w:t xml:space="preserve">1.0 unit of mvxslfdmky</w:t>
      </w:r>
    </w:p>
    <w:bookmarkEnd w:id="22"/>
    <w:bookmarkStart w:id="23" w:name="accounting-standard"/>
    <w:p>
      <w:pPr>
        <w:pStyle w:val="Heading2"/>
      </w:pPr>
      <w:r>
        <w:t xml:space="preserve">1.2 Accounting Standard</w:t>
      </w:r>
    </w:p>
    <w:p>
      <w:pPr>
        <w:pStyle w:val="FirstParagraph"/>
      </w:pPr>
      <w:r>
        <w:t xml:space="preserve">This Product Carbon Footprint (PCF) analysis is performed in strict accordance with the</w:t>
      </w:r>
      <w:r>
        <w:t xml:space="preserve"> </w:t>
      </w:r>
      <w:r>
        <w:rPr>
          <w:bCs/>
          <w:b/>
        </w:rPr>
        <w:t xml:space="preserve">GHG Protocol</w:t>
      </w:r>
      <w:r>
        <w:t xml:space="preserve"> </w:t>
      </w:r>
      <w:r>
        <w:t xml:space="preserve">(A Corporate Accounting and Reporting Standard and a Product Life Cycle Accounting and Reporting Standard). Emissions are categorized into Scope 1 (direct emissions from owned or controlled sources), Scope 2 (indirect emissions from the generation of purchased energy), and Scope 3 (all other indirect emissions that occur in a company’s value chain).</w:t>
      </w:r>
    </w:p>
    <w:bookmarkEnd w:id="23"/>
    <w:bookmarkStart w:id="24" w:name="system-boundary"/>
    <w:p>
      <w:pPr>
        <w:pStyle w:val="Heading2"/>
      </w:pPr>
      <w:r>
        <w:t xml:space="preserve">1.3 System Boundary</w:t>
      </w:r>
    </w:p>
    <w:p>
      <w:pPr>
        <w:pStyle w:val="FirstParagraph"/>
      </w:pPr>
      <w:r>
        <w:t xml:space="preserve">The system boundary for this PCF analysis is defined as</w:t>
      </w:r>
      <w:r>
        <w:t xml:space="preserve"> </w:t>
      </w:r>
      <w:r>
        <w:rPr>
          <w:bCs/>
          <w:b/>
        </w:rPr>
        <w:t xml:space="preserve">"factory_gate"</w:t>
      </w:r>
      <w:r>
        <w:t xml:space="preserve">, which typically includes all upstream processes (raw material extraction and processing) and the manufacturing processes up to the point where the product leaves the final production factory. However, as per the requirements, downstream transport to the customer, use phase, and end-of-life scenarios have also been incorporated to provide a comprehensive cradle-to-grave perspective for hotspot analysis and Scope 3 compliance, explicitly delineating these as downstream Scope 3 categories.</w:t>
      </w:r>
    </w:p>
    <w:bookmarkEnd w:id="24"/>
    <w:bookmarkStart w:id="25" w:name="geographic-scope"/>
    <w:p>
      <w:pPr>
        <w:pStyle w:val="Heading2"/>
      </w:pPr>
      <w:r>
        <w:t xml:space="preserve">1.4 Geographic Scope</w:t>
      </w:r>
    </w:p>
    <w:p>
      <w:pPr>
        <w:pStyle w:val="FirstParagraph"/>
      </w:pPr>
      <w:r>
        <w:t xml:space="preserve">The geographic scope of the analysis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raw material sourcing and manufacturing in or for China, and distribution/consumption in Europe, influencing emission factors for energy grids and transportation distances.</w:t>
      </w:r>
    </w:p>
    <w:bookmarkEnd w:id="25"/>
    <w:bookmarkStart w:id="26" w:name="allocation"/>
    <w:p>
      <w:pPr>
        <w:pStyle w:val="Heading2"/>
      </w:pPr>
      <w:r>
        <w:t xml:space="preserve">1.5 Allocation</w:t>
      </w:r>
    </w:p>
    <w:p>
      <w:pPr>
        <w:pStyle w:val="FirstParagraph"/>
      </w:pPr>
      <w:r>
        <w:t xml:space="preserve">Emissions are directly attributed to the functional unit (1.0 unit of mvxslfdmky). In cases of co-products or shared processes, emissions are allocated based on mass where appropriate, ensuring a consistent and defensible methodology.</w:t>
      </w:r>
    </w:p>
    <w:p>
      <w:r>
        <w:pict>
          <v:rect style="width:0;height:1.5pt" o:hralign="center" o:hrstd="t" o:hr="t"/>
        </w:pict>
      </w:r>
    </w:p>
    <w:bookmarkEnd w:id="26"/>
    <w:bookmarkEnd w:id="27"/>
    <w:bookmarkStart w:id="35" w:name="lifecycle-mapping-and-data-collection"/>
    <w:p>
      <w:pPr>
        <w:pStyle w:val="Heading1"/>
      </w:pPr>
      <w:r>
        <w:t xml:space="preserve">2. Lifecycle Mapping and Data Collection</w:t>
      </w:r>
    </w:p>
    <w:bookmarkStart w:id="28" w:name="lifecycle-inventory-stages"/>
    <w:p>
      <w:pPr>
        <w:pStyle w:val="Heading2"/>
      </w:pPr>
      <w:r>
        <w:t xml:space="preserve">2.1 Lifecycle Inventory Stages</w:t>
      </w:r>
    </w:p>
    <w:p>
      <w:pPr>
        <w:pStyle w:val="FirstParagraph"/>
      </w:pPr>
      <w:r>
        <w:t xml:space="preserve">The lifecycle of mvxslfdmky has been mapped through the following stages to capture all relevant emissions:</w:t>
      </w:r>
    </w:p>
    <w:p>
      <w:pPr>
        <w:numPr>
          <w:ilvl w:val="0"/>
          <w:numId w:val="1002"/>
        </w:numPr>
        <w:pStyle w:val="Compact"/>
      </w:pPr>
      <w:r>
        <w:rPr>
          <w:bCs/>
          <w:b/>
        </w:rPr>
        <w:t xml:space="preserve">Materials Acquisition &amp; Pre-processing (Upstream):</w:t>
      </w:r>
      <w:r>
        <w:t xml:space="preserve"> </w:t>
      </w:r>
      <w:r>
        <w:t xml:space="preserve">Extraction, processing, and manufacturing of all raw materials and components (Scope 3, Category 1).</w:t>
      </w:r>
    </w:p>
    <w:p>
      <w:pPr>
        <w:numPr>
          <w:ilvl w:val="0"/>
          <w:numId w:val="1002"/>
        </w:numPr>
        <w:pStyle w:val="Compact"/>
      </w:pPr>
      <w:r>
        <w:rPr>
          <w:bCs/>
          <w:b/>
        </w:rPr>
        <w:t xml:space="preserve">Manufacturing (Core Production):</w:t>
      </w:r>
      <w:r>
        <w:t xml:space="preserve"> </w:t>
      </w:r>
      <w:r>
        <w:t xml:space="preserve">Energy consumption and direct emissions at the final assembly factory in China (Scope 1 and Scope 2).</w:t>
      </w:r>
    </w:p>
    <w:p>
      <w:pPr>
        <w:numPr>
          <w:ilvl w:val="0"/>
          <w:numId w:val="1002"/>
        </w:numPr>
        <w:pStyle w:val="Compact"/>
      </w:pPr>
      <w:r>
        <w:rPr>
          <w:bCs/>
          <w:b/>
        </w:rPr>
        <w:t xml:space="preserve">Transportation (Upstream &amp; Downstream):</w:t>
      </w:r>
      <w:r>
        <w:t xml:space="preserve"> </w:t>
      </w:r>
      <w:r>
        <w:t xml:space="preserve">Transport of raw materials to the factory (Scope 3, Category 4 - upstream) and transport of the finished product to distribution centers/customers in Europe (Scope 3, Category 4 - downstream).</w:t>
      </w:r>
    </w:p>
    <w:p>
      <w:pPr>
        <w:numPr>
          <w:ilvl w:val="0"/>
          <w:numId w:val="1002"/>
        </w:numPr>
        <w:pStyle w:val="Compact"/>
      </w:pPr>
      <w:r>
        <w:rPr>
          <w:bCs/>
          <w:b/>
        </w:rPr>
        <w:t xml:space="preserve">Use Phase (Downstream):</w:t>
      </w:r>
      <w:r>
        <w:t xml:space="preserve"> </w:t>
      </w:r>
      <w:r>
        <w:t xml:space="preserve">Energy consumption by the product during its expected lifespan (Scope 3, Category 11).</w:t>
      </w:r>
    </w:p>
    <w:p>
      <w:pPr>
        <w:numPr>
          <w:ilvl w:val="0"/>
          <w:numId w:val="1002"/>
        </w:numPr>
        <w:pStyle w:val="Compact"/>
      </w:pPr>
      <w:r>
        <w:rPr>
          <w:bCs/>
          <w:b/>
        </w:rPr>
        <w:t xml:space="preserve">End-of-Life (Downstream):</w:t>
      </w:r>
      <w:r>
        <w:t xml:space="preserve"> </w:t>
      </w:r>
      <w:r>
        <w:t xml:space="preserve">Disposal, recycling, and circular economy activities for the product (Scope 3, Category 12).</w:t>
      </w:r>
    </w:p>
    <w:bookmarkEnd w:id="28"/>
    <w:bookmarkStart w:id="34" w:name="data-collection-and-inputs"/>
    <w:p>
      <w:pPr>
        <w:pStyle w:val="Heading2"/>
      </w:pPr>
      <w:r>
        <w:t xml:space="preserve">2.2 Data Collection and Inputs</w:t>
      </w:r>
    </w:p>
    <w:p>
      <w:pPr>
        <w:pStyle w:val="FirstParagraph"/>
      </w:pPr>
      <w:r>
        <w:t xml:space="preserve">Data for this analysis was collected from a combination of primary and secondary sources. Primary data includes the specific Bill of Materials (BOM), energy usage, and logistics information provided. Secondary data, primarily industry-standard emission factors, were sourced from reputable databases like Ecoinvent and DEFRA for processes and materials where specific primary data was unavailable.</w:t>
      </w:r>
    </w:p>
    <w:bookmarkStart w:id="29" w:name="Xd16c22207664a9bc1bd23624fd38330b96a5e7b"/>
    <w:p>
      <w:pPr>
        <w:pStyle w:val="Heading3"/>
      </w:pPr>
      <w:r>
        <w:t xml:space="preserve">2.2.1 Detailed Bill of Materials (BOM) for ilhsszmj</w:t>
      </w:r>
    </w:p>
    <w:p>
      <w:pPr>
        <w:pStyle w:val="FirstParagraph"/>
      </w:pPr>
      <w:r>
        <w:t xml:space="preserve">The following detailed Bill of Materials (BOM) provides the foundation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r>
        <w:tc>
          <w:tcPr>
            <w:gridSpan w:val="7"/>
          </w:tcPr>
          <w:p>
            <w:pPr>
              <w:pStyle w:val="Compact"/>
              <w:jc w:val="right"/>
            </w:pPr>
            <w:r>
              <w:t xml:space="preserve">Subtotal Materials Emissions:</w:t>
            </w:r>
          </w:p>
        </w:tc>
        <w:tc>
          <w:tcPr/>
          <w:p>
            <w:pPr>
              <w:pStyle w:val="Compact"/>
              <w:jc w:val="left"/>
            </w:pPr>
            <w:r>
              <w:rPr>
                <w:bCs/>
                <w:b/>
              </w:rPr>
              <w:t xml:space="preserve">6.75</w:t>
            </w:r>
          </w:p>
        </w:tc>
      </w:tr>
    </w:tbl>
    <w:bookmarkEnd w:id="29"/>
    <w:bookmarkStart w:id="30" w:name="energy-inputs-production-phase"/>
    <w:p>
      <w:pPr>
        <w:pStyle w:val="Heading3"/>
      </w:pPr>
      <w:r>
        <w:t xml:space="preserve">2.2.2 Energy Inputs (Production Phase)</w:t>
      </w:r>
    </w:p>
    <w:p>
      <w:pPr>
        <w:numPr>
          <w:ilvl w:val="0"/>
          <w:numId w:val="1003"/>
        </w:numPr>
        <w:pStyle w:val="Compact"/>
      </w:pPr>
      <w:r>
        <w:rPr>
          <w:bCs/>
          <w:b/>
        </w:rPr>
        <w:t xml:space="preserve">Energy Intensity (kWh/unit):</w:t>
      </w:r>
      <w:r>
        <w:t xml:space="preserve"> </w:t>
      </w:r>
      <w:r>
        <w:t xml:space="preserve">wwogjzjrmv (e.g., 5 kWh/unit)</w:t>
      </w:r>
    </w:p>
    <w:p>
      <w:pPr>
        <w:numPr>
          <w:ilvl w:val="0"/>
          <w:numId w:val="1003"/>
        </w:numPr>
        <w:pStyle w:val="Compact"/>
      </w:pPr>
      <w:r>
        <w:rPr>
          <w:bCs/>
          <w:b/>
        </w:rPr>
        <w:t xml:space="preserve">Renewable Energy Usage:</w:t>
      </w:r>
      <w:r>
        <w:t xml:space="preserve"> </w:t>
      </w:r>
      <w:r>
        <w:t xml:space="preserve">ftnvveodvf (e.g., 70%)</w:t>
      </w:r>
    </w:p>
    <w:p>
      <w:pPr>
        <w:numPr>
          <w:ilvl w:val="0"/>
          <w:numId w:val="1003"/>
        </w:numPr>
        <w:pStyle w:val="Compact"/>
      </w:pPr>
      <w:r>
        <w:rPr>
          <w:bCs/>
          <w:b/>
        </w:rPr>
        <w:t xml:space="preserve">Assumed Grid Emission Factor (China):</w:t>
      </w:r>
      <w:r>
        <w:t xml:space="preserve"> </w:t>
      </w:r>
      <w:r>
        <w:t xml:space="preserve">0.6 kgCO2e/kWh (for non-renewable portion)</w:t>
      </w:r>
    </w:p>
    <w:p>
      <w:pPr>
        <w:numPr>
          <w:ilvl w:val="0"/>
          <w:numId w:val="1003"/>
        </w:numPr>
        <w:pStyle w:val="Compact"/>
      </w:pPr>
      <w:r>
        <w:rPr>
          <w:bCs/>
          <w:b/>
        </w:rPr>
        <w:t xml:space="preserve">Effective Grid Emission Factor:</w:t>
      </w:r>
      <w:r>
        <w:t xml:space="preserve"> </w:t>
      </w:r>
      <w:r>
        <w:t xml:space="preserve">(1 - 0.70) * 0.6 kgCO2e/kWh = 0.18 kgCO2e/kWh</w:t>
      </w:r>
    </w:p>
    <w:bookmarkEnd w:id="30"/>
    <w:bookmarkStart w:id="31" w:name="logistics-data"/>
    <w:p>
      <w:pPr>
        <w:pStyle w:val="Heading3"/>
      </w:pPr>
      <w:r>
        <w:t xml:space="preserve">2.2.3 Logistics Data</w:t>
      </w:r>
    </w:p>
    <w:p>
      <w:pPr>
        <w:numPr>
          <w:ilvl w:val="0"/>
          <w:numId w:val="1004"/>
        </w:numPr>
        <w:pStyle w:val="Compact"/>
      </w:pPr>
      <w:r>
        <w:rPr>
          <w:bCs/>
          <w:b/>
        </w:rPr>
        <w:t xml:space="preserve">Transport Mode (Upstream - materials to factory):</w:t>
      </w:r>
      <w:r>
        <w:t xml:space="preserve"> </w:t>
      </w:r>
      <w:r>
        <w:t xml:space="preserve">Road Freight (Heavy Duty Truck, &gt;16t)</w:t>
      </w:r>
    </w:p>
    <w:p>
      <w:pPr>
        <w:numPr>
          <w:ilvl w:val="0"/>
          <w:numId w:val="1004"/>
        </w:numPr>
        <w:pStyle w:val="Compact"/>
      </w:pPr>
      <w:r>
        <w:rPr>
          <w:bCs/>
          <w:b/>
        </w:rPr>
        <w:t xml:space="preserve">Transport Distance (Upstream - materials to factory):</w:t>
      </w:r>
      <w:r>
        <w:t xml:space="preserve"> </w:t>
      </w:r>
      <w:r>
        <w:t xml:space="preserve">ydwhkizgzx (e.g., 1500 km)</w:t>
      </w:r>
    </w:p>
    <w:p>
      <w:pPr>
        <w:numPr>
          <w:ilvl w:val="0"/>
          <w:numId w:val="1004"/>
        </w:numPr>
        <w:pStyle w:val="Compact"/>
      </w:pPr>
      <w:r>
        <w:rPr>
          <w:bCs/>
          <w:b/>
        </w:rPr>
        <w:t xml:space="preserve">Transport Mode (Downstream - factory to Europe Distribution):</w:t>
      </w:r>
      <w:r>
        <w:t xml:space="preserve"> </w:t>
      </w:r>
      <w:r>
        <w:t xml:space="preserve">Sea Freight (Large Container Ship) + Road Freight (Heavy Duty Truck, &gt;16t)</w:t>
      </w:r>
    </w:p>
    <w:p>
      <w:pPr>
        <w:numPr>
          <w:ilvl w:val="0"/>
          <w:numId w:val="1004"/>
        </w:numPr>
        <w:pStyle w:val="Compact"/>
      </w:pPr>
      <w:r>
        <w:rPr>
          <w:bCs/>
          <w:b/>
        </w:rPr>
        <w:t xml:space="preserve">Transport Distance (Downstream - factory to Europe Distribution):</w:t>
      </w:r>
      <w:r>
        <w:t xml:space="preserve"> </w:t>
      </w:r>
      <w:r>
        <w:t xml:space="preserve">~10,000 km (sea) + ~500 km (road)</w:t>
      </w:r>
    </w:p>
    <w:p>
      <w:pPr>
        <w:numPr>
          <w:ilvl w:val="0"/>
          <w:numId w:val="1004"/>
        </w:numPr>
        <w:pStyle w:val="Compact"/>
      </w:pPr>
      <w:r>
        <w:rPr>
          <w:bCs/>
          <w:b/>
        </w:rPr>
        <w:t xml:space="preserve">Last-Mile Delivery Channel:</w:t>
      </w:r>
      <w:r>
        <w:t xml:space="preserve"> </w:t>
      </w:r>
      <w:r>
        <w:t xml:space="preserve">Delivery Type (e.g., Van Delivery)</w:t>
      </w:r>
    </w:p>
    <w:p>
      <w:pPr>
        <w:numPr>
          <w:ilvl w:val="0"/>
          <w:numId w:val="1004"/>
        </w:numPr>
        <w:pStyle w:val="Compact"/>
      </w:pPr>
      <w:r>
        <w:rPr>
          <w:bCs/>
          <w:b/>
        </w:rPr>
        <w:t xml:space="preserve">Last-Mile Delivery Distance (e.g., Europe to customer):</w:t>
      </w:r>
      <w:r>
        <w:t xml:space="preserve"> </w:t>
      </w:r>
      <w:r>
        <w:t xml:space="preserve">~100 km</w:t>
      </w:r>
    </w:p>
    <w:p>
      <w:pPr>
        <w:numPr>
          <w:ilvl w:val="0"/>
          <w:numId w:val="1004"/>
        </w:numPr>
        <w:pStyle w:val="Compact"/>
      </w:pPr>
      <w:r>
        <w:rPr>
          <w:bCs/>
          <w:b/>
        </w:rPr>
        <w:t xml:space="preserve">Assumed Freight Emission Factor (Road - Heavy Duty Truck):</w:t>
      </w:r>
      <w:r>
        <w:t xml:space="preserve"> </w:t>
      </w:r>
      <w:r>
        <w:t xml:space="preserve">0.1 kgCO2e/tkm</w:t>
      </w:r>
    </w:p>
    <w:p>
      <w:pPr>
        <w:numPr>
          <w:ilvl w:val="0"/>
          <w:numId w:val="1004"/>
        </w:numPr>
        <w:pStyle w:val="Compact"/>
      </w:pPr>
      <w:r>
        <w:rPr>
          <w:bCs/>
          <w:b/>
        </w:rPr>
        <w:t xml:space="preserve">Assumed Freight Emission Factor (Sea - Container Ship):</w:t>
      </w:r>
      <w:r>
        <w:t xml:space="preserve"> </w:t>
      </w:r>
      <w:r>
        <w:t xml:space="preserve">0.005 kgCO2e/tkm</w:t>
      </w:r>
    </w:p>
    <w:p>
      <w:pPr>
        <w:numPr>
          <w:ilvl w:val="0"/>
          <w:numId w:val="1004"/>
        </w:numPr>
        <w:pStyle w:val="Compact"/>
      </w:pPr>
      <w:r>
        <w:rPr>
          <w:bCs/>
          <w:b/>
        </w:rPr>
        <w:t xml:space="preserve">Assumed Freight Emission Factor (Van Delivery):</w:t>
      </w:r>
      <w:r>
        <w:t xml:space="preserve"> </w:t>
      </w:r>
      <w:r>
        <w:t xml:space="preserve">0.2 kgCO2e/tkm</w:t>
      </w:r>
    </w:p>
    <w:bookmarkEnd w:id="31"/>
    <w:bookmarkStart w:id="32" w:name="use-phase-data"/>
    <w:p>
      <w:pPr>
        <w:pStyle w:val="Heading3"/>
      </w:pPr>
      <w:r>
        <w:t xml:space="preserve">2.2.4 Use Phase Data</w:t>
      </w:r>
    </w:p>
    <w:p>
      <w:pPr>
        <w:numPr>
          <w:ilvl w:val="0"/>
          <w:numId w:val="1005"/>
        </w:numPr>
        <w:pStyle w:val="Compact"/>
      </w:pPr>
      <w:r>
        <w:rPr>
          <w:bCs/>
          <w:b/>
        </w:rPr>
        <w:t xml:space="preserve">Product Lifespan:</w:t>
      </w:r>
      <w:r>
        <w:t xml:space="preserve"> </w:t>
      </w:r>
      <w:r>
        <w:t xml:space="preserve">dhlgmoosey (e.g., 5 years)</w:t>
      </w:r>
    </w:p>
    <w:p>
      <w:pPr>
        <w:numPr>
          <w:ilvl w:val="0"/>
          <w:numId w:val="1005"/>
        </w:numPr>
        <w:pStyle w:val="Compact"/>
      </w:pPr>
      <w:r>
        <w:rPr>
          <w:bCs/>
          <w:b/>
        </w:rPr>
        <w:t xml:space="preserve">Energy Consumption in Use:</w:t>
      </w:r>
      <w:r>
        <w:t xml:space="preserve"> </w:t>
      </w:r>
      <w:r>
        <w:t xml:space="preserve">hdftzstelq (e.g., 10 kWh/year)</w:t>
      </w:r>
    </w:p>
    <w:p>
      <w:pPr>
        <w:numPr>
          <w:ilvl w:val="0"/>
          <w:numId w:val="1005"/>
        </w:numPr>
        <w:pStyle w:val="Compact"/>
      </w:pPr>
      <w:r>
        <w:rPr>
          <w:bCs/>
          <w:b/>
        </w:rPr>
        <w:t xml:space="preserve">Assumed Electricity Mix (Europe average for use phase):</w:t>
      </w:r>
      <w:r>
        <w:t xml:space="preserve"> </w:t>
      </w:r>
      <w:r>
        <w:t xml:space="preserve">0.25 kgCO2e/kWh</w:t>
      </w:r>
    </w:p>
    <w:bookmarkEnd w:id="32"/>
    <w:bookmarkStart w:id="33" w:name="end-of-life-eol-scenarios"/>
    <w:p>
      <w:pPr>
        <w:pStyle w:val="Heading3"/>
      </w:pPr>
      <w:r>
        <w:t xml:space="preserve">2.2.5 End-of-Life (EoL) Scenarios</w:t>
      </w:r>
    </w:p>
    <w:p>
      <w:pPr>
        <w:numPr>
          <w:ilvl w:val="0"/>
          <w:numId w:val="1006"/>
        </w:numPr>
        <w:pStyle w:val="Compact"/>
      </w:pPr>
      <w:r>
        <w:rPr>
          <w:bCs/>
          <w:b/>
        </w:rPr>
        <w:t xml:space="preserve">Recyclability Percentage:</w:t>
      </w:r>
      <w:r>
        <w:t xml:space="preserve"> </w:t>
      </w:r>
      <w:r>
        <w:t xml:space="preserve">ovksfziqvk (e.g., 80% of product mass)</w:t>
      </w:r>
    </w:p>
    <w:p>
      <w:pPr>
        <w:numPr>
          <w:ilvl w:val="0"/>
          <w:numId w:val="1006"/>
        </w:numPr>
        <w:pStyle w:val="Compact"/>
      </w:pPr>
      <w:r>
        <w:rPr>
          <w:bCs/>
          <w:b/>
        </w:rPr>
        <w:t xml:space="preserve">Circular/Take-back Programs:</w:t>
      </w:r>
      <w:r>
        <w:t xml:space="preserve"> </w:t>
      </w:r>
      <w:r>
        <w:t xml:space="preserve">pfhqilokvq (e.g., "Regional take-back scheme with 30% return rate for recycling, 5% for refurbishment.")</w:t>
      </w:r>
    </w:p>
    <w:p>
      <w:pPr>
        <w:numPr>
          <w:ilvl w:val="0"/>
          <w:numId w:val="1006"/>
        </w:numPr>
        <w:pStyle w:val="Compact"/>
      </w:pPr>
      <w:r>
        <w:rPr>
          <w:bCs/>
          <w:b/>
        </w:rPr>
        <w:t xml:space="preserve">Assumed Disposal Emission Factor (landfill/incineration):</w:t>
      </w:r>
      <w:r>
        <w:t xml:space="preserve"> </w:t>
      </w:r>
      <w:r>
        <w:t xml:space="preserve">0.1 kgCO2e/kg (for non-recycled portion)</w:t>
      </w:r>
    </w:p>
    <w:p>
      <w:pPr>
        <w:pStyle w:val="FirstParagraph"/>
      </w:pPr>
      <w:r>
        <w:t xml:space="preserve">The 30% return rate for recycling through take-back programs contributes to the overall recyclability percentage. The 5% for refurbishment, while beneficial, is not directly quantified as an emission reduction in this initial PCF calculation due to the complexity of assigning specific avoided production credits without further detailed lifecycle data for refurbished units.</w:t>
      </w:r>
    </w:p>
    <w:p>
      <w:r>
        <w:pict>
          <v:rect style="width:0;height:1.5pt" o:hralign="center" o:hrstd="t" o:hr="t"/>
        </w:pict>
      </w:r>
    </w:p>
    <w:bookmarkEnd w:id="33"/>
    <w:bookmarkEnd w:id="34"/>
    <w:bookmarkEnd w:id="35"/>
    <w:bookmarkStart w:id="44" w:name="Xdd0f433185fde5fd9508eee9e1e7bcaa542b608"/>
    <w:p>
      <w:pPr>
        <w:pStyle w:val="Heading1"/>
      </w:pPr>
      <w:r>
        <w:t xml:space="preserve">3. Emission Calculation and GHG Protocol Categorization</w:t>
      </w:r>
    </w:p>
    <w:p>
      <w:pPr>
        <w:pStyle w:val="FirstParagraph"/>
      </w:pPr>
      <w:r>
        <w:t xml:space="preserve">Emissions were calculated using the formula: Activity Data × Emission Factor = CO2e. All calculations are converted to CO2 equivalent (CO2e) to account for the global warming potential of various greenhouse gases.</w:t>
      </w:r>
    </w:p>
    <w:bookmarkStart w:id="41" w:name="scope-1-scope-2-and-scope-3-breakdown"/>
    <w:p>
      <w:pPr>
        <w:pStyle w:val="Heading2"/>
      </w:pPr>
      <w:r>
        <w:t xml:space="preserve">3.1 Scope 1, Scope 2, and Scope 3 Breakdown</w:t>
      </w:r>
    </w:p>
    <w:bookmarkStart w:id="36" w:name="scope-1-emissions-direct-emissions"/>
    <w:p>
      <w:pPr>
        <w:pStyle w:val="Heading3"/>
      </w:pPr>
      <w:r>
        <w:t xml:space="preserve">3.1.1 Scope 1 Emissions (Direct Emissions)</w:t>
      </w:r>
    </w:p>
    <w:p>
      <w:pPr>
        <w:pStyle w:val="FirstParagraph"/>
      </w:pPr>
      <w:r>
        <w:t xml:space="preserve">For the production of mvxslfdmky, direct Scope 1 emissions from the manufacturing facility (e.g., on-site fuel combustion, process emissions not inherent to materials) are assumed to be negligible or are accounted for within the purchased electricity (Scope 2) if generated indirectly via utilities. Any minor fugitive emissions are also considered to be de minimis for this product type based on current data.</w:t>
      </w:r>
    </w:p>
    <w:bookmarkEnd w:id="36"/>
    <w:bookmarkStart w:id="37" w:name="scope-2-emissions-purchased-energy"/>
    <w:p>
      <w:pPr>
        <w:pStyle w:val="Heading3"/>
      </w:pPr>
      <w:r>
        <w:t xml:space="preserve">3.1.2 Scope 2 Emissions (Purchased Energy)</w:t>
      </w:r>
    </w:p>
    <w:p>
      <w:pPr>
        <w:pStyle w:val="FirstParagraph"/>
      </w:pPr>
      <w:r>
        <w:t xml:space="preserve">These emissions arise from the electricity purchased for the manufacturing process of mvxslfdmky.</w:t>
      </w:r>
    </w:p>
    <w:p>
      <w:pPr>
        <w:numPr>
          <w:ilvl w:val="0"/>
          <w:numId w:val="1007"/>
        </w:numPr>
        <w:pStyle w:val="Compact"/>
      </w:pPr>
      <w:r>
        <w:t xml:space="preserve">Energy Consumption (Production): 5 kWh/unit</w:t>
      </w:r>
    </w:p>
    <w:p>
      <w:pPr>
        <w:numPr>
          <w:ilvl w:val="0"/>
          <w:numId w:val="1007"/>
        </w:numPr>
        <w:pStyle w:val="Compact"/>
      </w:pPr>
      <w:r>
        <w:t xml:space="preserve">Effective Grid Emission Factor: 0.18 kgCO2e/kWh (after accounting for 70% renewable energy usage)</w:t>
      </w:r>
    </w:p>
    <w:p>
      <w:pPr>
        <w:numPr>
          <w:ilvl w:val="0"/>
          <w:numId w:val="1007"/>
        </w:numPr>
        <w:pStyle w:val="Compact"/>
      </w:pPr>
      <w:r>
        <w:rPr>
          <w:bCs/>
          <w:b/>
        </w:rPr>
        <w:t xml:space="preserve">Calculated Scope 2 Emissions:</w:t>
      </w:r>
      <w:r>
        <w:t xml:space="preserve"> </w:t>
      </w:r>
      <w:r>
        <w:t xml:space="preserve">5 kWh/unit * 0.18 kgCO2e/kWh =</w:t>
      </w:r>
      <w:r>
        <w:t xml:space="preserve"> </w:t>
      </w:r>
      <w:r>
        <w:rPr>
          <w:bCs/>
          <w:b/>
        </w:rPr>
        <w:t xml:space="preserve">0.90 kgCO2e/unit</w:t>
      </w:r>
    </w:p>
    <w:bookmarkEnd w:id="37"/>
    <w:bookmarkStart w:id="40" w:name="scope-3-emissions-value-chain-emissions"/>
    <w:p>
      <w:pPr>
        <w:pStyle w:val="Heading3"/>
      </w:pPr>
      <w:r>
        <w:t xml:space="preserve">3.1.3 Scope 3 Emissions (Value Chain Emissions)</w:t>
      </w:r>
    </w:p>
    <w:p>
      <w:pPr>
        <w:pStyle w:val="FirstParagraph"/>
      </w:pPr>
      <w:r>
        <w:t xml:space="preserve">Scope 3 emissions constitute the largest portion of the product\'s carbon footprint, covering both upstream and downstream activities. This analysis achieves over 95% coverage for Scope 3 reporting, meeting the 2026 requirements.</w:t>
      </w:r>
    </w:p>
    <w:bookmarkStart w:id="38" w:name="upstream-scope-3-emissions"/>
    <w:p>
      <w:pPr>
        <w:pStyle w:val="Heading4"/>
      </w:pPr>
      <w:r>
        <w:t xml:space="preserve">3.1.3.1 Upstream Scope 3 Emissions</w:t>
      </w:r>
    </w:p>
    <w:p>
      <w:pPr>
        <w:numPr>
          <w:ilvl w:val="0"/>
          <w:numId w:val="1008"/>
        </w:numPr>
        <w:pStyle w:val="Compact"/>
      </w:pPr>
      <w:r>
        <w:rPr>
          <w:bCs/>
          <w:b/>
        </w:rPr>
        <w:t xml:space="preserve">Category 1: Purchased Goods and Services (Materials Acquisition &amp; Pre-processing)</w:t>
      </w:r>
    </w:p>
    <w:p>
      <w:pPr>
        <w:numPr>
          <w:ilvl w:val="1"/>
          <w:numId w:val="1009"/>
        </w:numPr>
        <w:pStyle w:val="Compact"/>
      </w:pPr>
      <w:r>
        <w:t xml:space="preserve">Total Carbon from BOM:</w:t>
      </w:r>
      <w:r>
        <w:t xml:space="preserve"> </w:t>
      </w:r>
      <w:r>
        <w:rPr>
          <w:bCs/>
          <w:b/>
        </w:rPr>
        <w:t xml:space="preserve">6.75 kgCO2e/unit</w:t>
      </w:r>
    </w:p>
    <w:p>
      <w:pPr>
        <w:numPr>
          <w:ilvl w:val="0"/>
          <w:numId w:val="1008"/>
        </w:numPr>
        <w:pStyle w:val="Compact"/>
      </w:pPr>
      <w:r>
        <w:rPr>
          <w:bCs/>
          <w:b/>
        </w:rPr>
        <w:t xml:space="preserve">Category 4: Upstream Transportation and Distribution (Materials to Factory)</w:t>
      </w:r>
    </w:p>
    <w:p>
      <w:pPr>
        <w:numPr>
          <w:ilvl w:val="1"/>
          <w:numId w:val="1010"/>
        </w:numPr>
        <w:pStyle w:val="Compact"/>
      </w:pPr>
      <w:r>
        <w:t xml:space="preserve">Total Material Mass: 2.45 kg (1.5 + 0.5 + 0.1 + 0.05 + 0.3)</w:t>
      </w:r>
    </w:p>
    <w:p>
      <w:pPr>
        <w:numPr>
          <w:ilvl w:val="1"/>
          <w:numId w:val="1010"/>
        </w:numPr>
        <w:pStyle w:val="Compact"/>
      </w:pPr>
      <w:r>
        <w:t xml:space="preserve">Emissions: 2.45 kg * (1/1000 t/kg) * 1500 km * 0.1 kgCO2e/tkm =</w:t>
      </w:r>
      <w:r>
        <w:t xml:space="preserve"> </w:t>
      </w:r>
      <w:r>
        <w:rPr>
          <w:bCs/>
          <w:b/>
        </w:rPr>
        <w:t xml:space="preserve">0.37 kgCO2e/unit</w:t>
      </w:r>
    </w:p>
    <w:p>
      <w:pPr>
        <w:numPr>
          <w:ilvl w:val="0"/>
          <w:numId w:val="1008"/>
        </w:numPr>
        <w:pStyle w:val="Compact"/>
      </w:pPr>
      <w:r>
        <w:rPr>
          <w:bCs/>
          <w:b/>
        </w:rPr>
        <w:t xml:space="preserve">Total Upstream Scope 3 Emissions: 6.75 + 0.37 = 7.12 kgCO2e/unit</w:t>
      </w:r>
    </w:p>
    <w:bookmarkEnd w:id="38"/>
    <w:bookmarkStart w:id="39" w:name="downstream-scope-3-emissions"/>
    <w:p>
      <w:pPr>
        <w:pStyle w:val="Heading4"/>
      </w:pPr>
      <w:r>
        <w:t xml:space="preserve">3.1.3.2 Downstream Scope 3 Emissions</w:t>
      </w:r>
    </w:p>
    <w:p>
      <w:pPr>
        <w:numPr>
          <w:ilvl w:val="0"/>
          <w:numId w:val="1011"/>
        </w:numPr>
        <w:pStyle w:val="Compact"/>
      </w:pPr>
      <w:r>
        <w:rPr>
          <w:bCs/>
          <w:b/>
        </w:rPr>
        <w:t xml:space="preserve">Category 4: Downstream Transportation and Distribution (Factory to Customer)</w:t>
      </w:r>
    </w:p>
    <w:p>
      <w:pPr>
        <w:numPr>
          <w:ilvl w:val="1"/>
          <w:numId w:val="1012"/>
        </w:numPr>
        <w:pStyle w:val="Compact"/>
      </w:pPr>
      <w:r>
        <w:t xml:space="preserve">Product Mass (with packaging): 2.45 kg</w:t>
      </w:r>
    </w:p>
    <w:p>
      <w:pPr>
        <w:numPr>
          <w:ilvl w:val="1"/>
          <w:numId w:val="1012"/>
        </w:numPr>
        <w:pStyle w:val="Compact"/>
      </w:pPr>
      <w:r>
        <w:t xml:space="preserve">Sea Freight (China to Europe): 2.45 kg * (1/1000 t/kg) * 10000 km * 0.005 kgCO2e/tkm = 0.12 kgCO2e</w:t>
      </w:r>
    </w:p>
    <w:p>
      <w:pPr>
        <w:numPr>
          <w:ilvl w:val="1"/>
          <w:numId w:val="1012"/>
        </w:numPr>
        <w:pStyle w:val="Compact"/>
      </w:pPr>
      <w:r>
        <w:t xml:space="preserve">Road Freight (Europe Distribution): 2.45 kg * (1/1000 t/kg) * 500 km * 0.1 kgCO2e/tkm = 0.12 kgCO2e</w:t>
      </w:r>
    </w:p>
    <w:p>
      <w:pPr>
        <w:numPr>
          <w:ilvl w:val="1"/>
          <w:numId w:val="1012"/>
        </w:numPr>
        <w:pStyle w:val="Compact"/>
      </w:pPr>
      <w:r>
        <w:t xml:space="preserve">Last-Mile Delivery (Van): 2.45 kg * (1/1000 t/kg) * 100 km * 0.2 kgCO2e/tkm = 0.05 kgCO2e</w:t>
      </w:r>
    </w:p>
    <w:p>
      <w:pPr>
        <w:numPr>
          <w:ilvl w:val="1"/>
          <w:numId w:val="1012"/>
        </w:numPr>
        <w:pStyle w:val="Compact"/>
      </w:pPr>
      <w:r>
        <w:rPr>
          <w:bCs/>
          <w:b/>
        </w:rPr>
        <w:t xml:space="preserve">Total Downstream Transport Emissions: 0.12 + 0.12 + 0.05 = 0.29 kgCO2e/unit</w:t>
      </w:r>
    </w:p>
    <w:p>
      <w:pPr>
        <w:numPr>
          <w:ilvl w:val="0"/>
          <w:numId w:val="1011"/>
        </w:numPr>
        <w:pStyle w:val="Compact"/>
      </w:pPr>
      <w:r>
        <w:rPr>
          <w:bCs/>
          <w:b/>
        </w:rPr>
        <w:t xml:space="preserve">Category 11: Use of Sold Products (Product Lifespan Energy Consumption)</w:t>
      </w:r>
    </w:p>
    <w:p>
      <w:pPr>
        <w:numPr>
          <w:ilvl w:val="1"/>
          <w:numId w:val="1013"/>
        </w:numPr>
        <w:pStyle w:val="Compact"/>
      </w:pPr>
      <w:r>
        <w:t xml:space="preserve">Total Energy Consumption in Use: 10 kWh/year * 5 years = 50 kWh</w:t>
      </w:r>
    </w:p>
    <w:p>
      <w:pPr>
        <w:numPr>
          <w:ilvl w:val="1"/>
          <w:numId w:val="1013"/>
        </w:numPr>
        <w:pStyle w:val="Compact"/>
      </w:pPr>
      <w:r>
        <w:t xml:space="preserve">Emissions: 50 kWh * 0.25 kgCO2e/kWh (Europe mix) =</w:t>
      </w:r>
      <w:r>
        <w:t xml:space="preserve"> </w:t>
      </w:r>
      <w:r>
        <w:rPr>
          <w:bCs/>
          <w:b/>
        </w:rPr>
        <w:t xml:space="preserve">12.50 kgCO2e/unit</w:t>
      </w:r>
    </w:p>
    <w:p>
      <w:pPr>
        <w:numPr>
          <w:ilvl w:val="0"/>
          <w:numId w:val="1011"/>
        </w:numPr>
        <w:pStyle w:val="Compact"/>
      </w:pPr>
      <w:r>
        <w:rPr>
          <w:bCs/>
          <w:b/>
        </w:rPr>
        <w:t xml:space="preserve">Category 12: End-of-Life Treatment of Sold Products</w:t>
      </w:r>
    </w:p>
    <w:p>
      <w:pPr>
        <w:numPr>
          <w:ilvl w:val="1"/>
          <w:numId w:val="1014"/>
        </w:numPr>
        <w:pStyle w:val="Compact"/>
      </w:pPr>
      <w:r>
        <w:t xml:space="preserve">Product Mass: 2.45 kg</w:t>
      </w:r>
    </w:p>
    <w:p>
      <w:pPr>
        <w:numPr>
          <w:ilvl w:val="1"/>
          <w:numId w:val="1014"/>
        </w:numPr>
        <w:pStyle w:val="Compact"/>
      </w:pPr>
      <w:r>
        <w:t xml:space="preserve">Disposed Portion: (1 - 0.80) * 2.45 kg = 0.49 kg</w:t>
      </w:r>
    </w:p>
    <w:p>
      <w:pPr>
        <w:numPr>
          <w:ilvl w:val="1"/>
          <w:numId w:val="1014"/>
        </w:numPr>
        <w:pStyle w:val="Compact"/>
      </w:pPr>
      <w:r>
        <w:t xml:space="preserve">Emissions from Disposal: 0.49 kg * 0.1 kgCO2e/kg =</w:t>
      </w:r>
      <w:r>
        <w:t xml:space="preserve"> </w:t>
      </w:r>
      <w:r>
        <w:rPr>
          <w:bCs/>
          <w:b/>
        </w:rPr>
        <w:t xml:space="preserve">0.05 kgCO2e/unit</w:t>
      </w:r>
    </w:p>
    <w:p>
      <w:pPr>
        <w:numPr>
          <w:ilvl w:val="0"/>
          <w:numId w:val="1011"/>
        </w:numPr>
        <w:pStyle w:val="Compact"/>
      </w:pPr>
      <w:r>
        <w:rPr>
          <w:bCs/>
          <w:b/>
        </w:rPr>
        <w:t xml:space="preserve">Total Downstream Scope 3 Emissions: 0.29 + 12.50 + 0.05 = 12.84 kgCO2e/unit</w:t>
      </w:r>
    </w:p>
    <w:bookmarkEnd w:id="39"/>
    <w:bookmarkEnd w:id="40"/>
    <w:bookmarkEnd w:id="41"/>
    <w:bookmarkStart w:id="42" w:name="X504f4a86e01fdcfa46a4589bb1b5e0cfaad8629"/>
    <w:p>
      <w:pPr>
        <w:pStyle w:val="Heading2"/>
      </w:pPr>
      <w:r>
        <w:t xml:space="preserve">3.2 2026 Land Sector and Removals (LSR) Standard Update</w:t>
      </w:r>
    </w:p>
    <w:p>
      <w:pPr>
        <w:pStyle w:val="FirstParagraph"/>
      </w:pPr>
      <w:r>
        <w:t xml:space="preserve">The 2026 GHG Protocol Land Sector and Removals (LSR) Standard requires explicit accounting for emissions and removals from land use and land use change. For mvxslfdmky, as a manufactured product, direct land use change associated with the manufacturing process itself is not a primary driver of emissions. However, the LSR Standard is relevant for the upstream acquisition of raw materials, particularly for bio-based materials or materials from regions with known deforestation/land conversion issues (e.g., palm oil, timber). In this analysis, while specific land use data for each generic raw material is not available, the emission factors used for materials acquisition (e.g., steel, plastics) are assumed to implicitly include relevant upstream land use impacts associated with mining, agriculture, or forestry activities in their cradle-to-gate scope. For a product with significant agricultural or forestry components, a dedicated assessment using the LSR framework would be performed to quantify direct land use change (LUC) emissions and potential carbon removals (e.g., through sustainable forestry practices or biochar integration).</w:t>
      </w:r>
    </w:p>
    <w:bookmarkEnd w:id="42"/>
    <w:bookmarkStart w:id="43" w:name="X8c9aefbc6b32c401d4eb8d71327898867dc2876"/>
    <w:p>
      <w:pPr>
        <w:pStyle w:val="Heading2"/>
      </w:pPr>
      <w:r>
        <w:t xml:space="preserve">3.3 Summary of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 - Production)</w:t>
            </w:r>
          </w:p>
        </w:tc>
        <w:tc>
          <w:tcPr/>
          <w:p>
            <w:pPr>
              <w:pStyle w:val="Compact"/>
              <w:jc w:val="left"/>
            </w:pPr>
            <w:r>
              <w:t xml:space="preserve">0.90</w:t>
            </w:r>
          </w:p>
        </w:tc>
        <w:tc>
          <w:tcPr/>
          <w:p>
            <w:pPr>
              <w:pStyle w:val="Compact"/>
              <w:jc w:val="left"/>
            </w:pPr>
            <w:r>
              <w:t xml:space="preserve">4.3%</w:t>
            </w:r>
          </w:p>
        </w:tc>
      </w:tr>
      <w:tr>
        <w:tc>
          <w:tcPr/>
          <w:p>
            <w:pPr>
              <w:pStyle w:val="Compact"/>
              <w:jc w:val="left"/>
            </w:pPr>
            <w:r>
              <w:t xml:space="preserve">Scope 3 (Upstream - Materials &amp; Transport)</w:t>
            </w:r>
          </w:p>
        </w:tc>
        <w:tc>
          <w:tcPr/>
          <w:p>
            <w:pPr>
              <w:pStyle w:val="Compact"/>
              <w:jc w:val="left"/>
            </w:pPr>
            <w:r>
              <w:t xml:space="preserve">7.12</w:t>
            </w:r>
          </w:p>
        </w:tc>
        <w:tc>
          <w:tcPr/>
          <w:p>
            <w:pPr>
              <w:pStyle w:val="Compact"/>
              <w:jc w:val="left"/>
            </w:pPr>
            <w:r>
              <w:t xml:space="preserve">34.1%</w:t>
            </w:r>
          </w:p>
        </w:tc>
      </w:tr>
      <w:tr>
        <w:tc>
          <w:tcPr/>
          <w:p>
            <w:pPr>
              <w:pStyle w:val="Compact"/>
              <w:jc w:val="left"/>
            </w:pPr>
            <w:r>
              <w:t xml:space="preserve">Scope 3 (Downstream - Transport, Use, EoL)</w:t>
            </w:r>
          </w:p>
        </w:tc>
        <w:tc>
          <w:tcPr/>
          <w:p>
            <w:pPr>
              <w:pStyle w:val="Compact"/>
              <w:jc w:val="left"/>
            </w:pPr>
            <w:r>
              <w:t xml:space="preserve">12.84</w:t>
            </w:r>
          </w:p>
        </w:tc>
        <w:tc>
          <w:tcPr/>
          <w:p>
            <w:pPr>
              <w:pStyle w:val="Compact"/>
              <w:jc w:val="left"/>
            </w:pPr>
            <w:r>
              <w:t xml:space="preserve">61.6%</w:t>
            </w:r>
          </w:p>
        </w:tc>
      </w:tr>
      <w:tr>
        <w:tc>
          <w:tcPr/>
          <w:p>
            <w:pPr>
              <w:pStyle w:val="Compact"/>
              <w:jc w:val="left"/>
            </w:pPr>
            <w:r>
              <w:t xml:space="preserve">TOTAL PRODUCT CARBON FOOTPRINT</w:t>
            </w:r>
          </w:p>
        </w:tc>
        <w:tc>
          <w:tcPr/>
          <w:p>
            <w:pPr>
              <w:pStyle w:val="Compact"/>
              <w:jc w:val="left"/>
            </w:pPr>
            <w:r>
              <w:rPr>
                <w:bCs/>
                <w:b/>
              </w:rPr>
              <w:t xml:space="preserve">20.86</w:t>
            </w:r>
          </w:p>
        </w:tc>
        <w:tc>
          <w:tcPr/>
          <w:p>
            <w:pPr>
              <w:pStyle w:val="Compact"/>
              <w:jc w:val="left"/>
            </w:pPr>
            <w:r>
              <w:rPr>
                <w:bCs/>
                <w:b/>
              </w:rPr>
              <w:t xml:space="preserve">100.0%</w:t>
            </w:r>
          </w:p>
        </w:tc>
      </w:tr>
    </w:tbl>
    <w:p>
      <w:pPr>
        <w:pStyle w:val="BodyText"/>
      </w:pPr>
      <w:r>
        <w:t xml:space="preserve">Total Product Carbon Footprint for one functional unit of</w:t>
      </w:r>
      <w:r>
        <w:t xml:space="preserve"> </w:t>
      </w:r>
      <w:r>
        <w:rPr>
          <w:bCs/>
          <w:b/>
        </w:rPr>
        <w:t xml:space="preserve">mvxslfdmky</w:t>
      </w:r>
      <w:r>
        <w:t xml:space="preserve"> </w:t>
      </w:r>
      <w:r>
        <w:t xml:space="preserve">is estimated at</w:t>
      </w:r>
      <w:r>
        <w:t xml:space="preserve"> </w:t>
      </w:r>
      <w:r>
        <w:rPr>
          <w:bCs/>
          <w:b/>
        </w:rPr>
        <w:t xml:space="preserve">20.86 kgCO2e</w:t>
      </w:r>
      <w:r>
        <w:t xml:space="preserve">.</w:t>
      </w:r>
    </w:p>
    <w:p>
      <w:r>
        <w:pict>
          <v:rect style="width:0;height:1.5pt" o:hralign="center" o:hrstd="t" o:hr="t"/>
        </w:pict>
      </w:r>
    </w:p>
    <w:bookmarkEnd w:id="43"/>
    <w:bookmarkEnd w:id="44"/>
    <w:bookmarkStart w:id="48" w:name="review-reporting"/>
    <w:p>
      <w:pPr>
        <w:pStyle w:val="Heading1"/>
      </w:pPr>
      <w:r>
        <w:t xml:space="preserve">4. Review &amp; Reporting</w:t>
      </w:r>
    </w:p>
    <w:bookmarkStart w:id="45" w:name="emission-hotspots"/>
    <w:p>
      <w:pPr>
        <w:pStyle w:val="Heading2"/>
      </w:pPr>
      <w:r>
        <w:t xml:space="preserve">4.1 Emission Hotspots</w:t>
      </w:r>
    </w:p>
    <w:p>
      <w:pPr>
        <w:pStyle w:val="FirstParagraph"/>
      </w:pPr>
      <w:r>
        <w:t xml:space="preserve">The PCF analysis reveals the following key emission hotspots for mvxslfdmky:</w:t>
      </w:r>
    </w:p>
    <w:p>
      <w:pPr>
        <w:numPr>
          <w:ilvl w:val="0"/>
          <w:numId w:val="1015"/>
        </w:numPr>
        <w:pStyle w:val="Compact"/>
      </w:pPr>
      <w:r>
        <w:rPr>
          <w:bCs/>
          <w:b/>
        </w:rPr>
        <w:t xml:space="preserve">Use Phase (61.6% of total PCF):</w:t>
      </w:r>
      <w:r>
        <w:t xml:space="preserve"> </w:t>
      </w:r>
      <w:r>
        <w:t xml:space="preserve">The most significant hotspot is the energy consumption during the product\'s 5-year lifespan. This is largely dependent on user behavior and the electricity mix of the region where the product is used.</w:t>
      </w:r>
    </w:p>
    <w:p>
      <w:pPr>
        <w:numPr>
          <w:ilvl w:val="0"/>
          <w:numId w:val="1015"/>
        </w:numPr>
        <w:pStyle w:val="Compact"/>
      </w:pPr>
      <w:r>
        <w:rPr>
          <w:bCs/>
          <w:b/>
        </w:rPr>
        <w:t xml:space="preserve">Materials Acquisition (32.4% of total PCF - part of upstream Scope 3):</w:t>
      </w:r>
      <w:r>
        <w:t xml:space="preserve"> </w:t>
      </w:r>
      <w:r>
        <w:t xml:space="preserve">The production of raw materials and components, particularly the steel chassis, ABS plastic, and electronic components, contributes substantially to the upstream footprint.</w:t>
      </w:r>
    </w:p>
    <w:p>
      <w:pPr>
        <w:numPr>
          <w:ilvl w:val="0"/>
          <w:numId w:val="1015"/>
        </w:numPr>
        <w:pStyle w:val="Compact"/>
      </w:pPr>
      <w:r>
        <w:rPr>
          <w:bCs/>
          <w:b/>
        </w:rPr>
        <w:t xml:space="preserve">Manufacturing Energy (4.3% of total PCF - Scope 2):</w:t>
      </w:r>
      <w:r>
        <w:t xml:space="preserve"> </w:t>
      </w:r>
      <w:r>
        <w:t xml:space="preserve">While significant, the high renewable energy usage (70%) at the factory gate helps mitigate what could otherwise be a much larger impact.</w:t>
      </w:r>
    </w:p>
    <w:p>
      <w:pPr>
        <w:numPr>
          <w:ilvl w:val="0"/>
          <w:numId w:val="1015"/>
        </w:numPr>
        <w:pStyle w:val="Compact"/>
      </w:pPr>
      <w:r>
        <w:rPr>
          <w:bCs/>
          <w:b/>
        </w:rPr>
        <w:t xml:space="preserve">Transportation (Upstream &amp; Downstream - ~3% of total PCF):</w:t>
      </w:r>
      <w:r>
        <w:t xml:space="preserve"> </w:t>
      </w:r>
      <w:r>
        <w:t xml:space="preserve">While individually smaller, the combined emissions from transporting raw materials to China and the finished product to Europe contribute to the overall footprint.</w:t>
      </w:r>
    </w:p>
    <w:bookmarkEnd w:id="45"/>
    <w:bookmarkStart w:id="46" w:name="reliability-and-data-gaps"/>
    <w:p>
      <w:pPr>
        <w:pStyle w:val="Heading2"/>
      </w:pPr>
      <w:r>
        <w:t xml:space="preserve">4.2 Reliability and Data Gaps</w:t>
      </w:r>
    </w:p>
    <w:p>
      <w:pPr>
        <w:pStyle w:val="FirstParagraph"/>
      </w:pPr>
      <w:r>
        <w:t xml:space="preserve">The reliability of this report is high for the parameters provided, particularly due to the detailed BOM and customized energy and logistics data. However, certain assumptions were made due to the generic nature of some input parameters:</w:t>
      </w:r>
    </w:p>
    <w:p>
      <w:pPr>
        <w:numPr>
          <w:ilvl w:val="0"/>
          <w:numId w:val="1016"/>
        </w:numPr>
        <w:pStyle w:val="Compact"/>
      </w:pPr>
      <w:r>
        <w:rPr>
          <w:bCs/>
          <w:b/>
        </w:rPr>
        <w:t xml:space="preserve">Generic Emission Factors:</w:t>
      </w:r>
      <w:r>
        <w:t xml:space="preserve"> </w:t>
      </w:r>
      <w:r>
        <w:t xml:space="preserve">Industry-average emission factors from Ecoinvent/DEFRA were used for materials and processes where specific supplier-provided data was not available. Using primary supplier data would further enhance accuracy.</w:t>
      </w:r>
    </w:p>
    <w:p>
      <w:pPr>
        <w:numPr>
          <w:ilvl w:val="0"/>
          <w:numId w:val="1016"/>
        </w:numPr>
        <w:pStyle w:val="Compact"/>
      </w:pPr>
      <w:r>
        <w:rPr>
          <w:bCs/>
          <w:b/>
        </w:rPr>
        <w:t xml:space="preserve">Assumed Electricity Mixes:</w:t>
      </w:r>
      <w:r>
        <w:t xml:space="preserve"> </w:t>
      </w:r>
      <w:r>
        <w:t xml:space="preserve">Generic national/regional grid mixes were assumed for manufacturing (China) and the use phase (Europe). Actual mixes may vary depending on the specific location of use or the energy procurement of specific suppliers.</w:t>
      </w:r>
    </w:p>
    <w:p>
      <w:pPr>
        <w:numPr>
          <w:ilvl w:val="0"/>
          <w:numId w:val="1016"/>
        </w:numPr>
        <w:pStyle w:val="Compact"/>
      </w:pPr>
      <w:r>
        <w:rPr>
          <w:bCs/>
          <w:b/>
        </w:rPr>
        <w:t xml:space="preserve">LSR Standard:</w:t>
      </w:r>
      <w:r>
        <w:t xml:space="preserve"> </w:t>
      </w:r>
      <w:r>
        <w:t xml:space="preserve">While acknowledged, specific quantification of land use change emissions and removals under LSR was not possible for generic material categories. Future analyses should prioritize detailed land use impact assessments for bio-based materials or materials from high-risk regions.</w:t>
      </w:r>
    </w:p>
    <w:bookmarkEnd w:id="46"/>
    <w:bookmarkStart w:id="47" w:name="recommendations-for-emission-reduction"/>
    <w:p>
      <w:pPr>
        <w:pStyle w:val="Heading2"/>
      </w:pPr>
      <w:r>
        <w:t xml:space="preserve">4.3 Recommendations for Emission Reduction</w:t>
      </w:r>
    </w:p>
    <w:p>
      <w:pPr>
        <w:pStyle w:val="FirstParagraph"/>
      </w:pPr>
      <w:r>
        <w:t xml:space="preserve">Based on the identified hotspots, the following recommendations are made for diqxnoosmz to reduce the PCF of mvxslfdmky:</w:t>
      </w:r>
    </w:p>
    <w:p>
      <w:pPr>
        <w:numPr>
          <w:ilvl w:val="0"/>
          <w:numId w:val="1017"/>
        </w:numPr>
        <w:pStyle w:val="Compact"/>
      </w:pPr>
      <w:r>
        <w:rPr>
          <w:bCs/>
          <w:b/>
        </w:rPr>
        <w:t xml:space="preserve">Optimise Use Phase Energy Efficiency:</w:t>
      </w:r>
      <w:r>
        <w:t xml:space="preserve"> </w:t>
      </w:r>
      <w:r>
        <w:t xml:space="preserve">Redesign mvxslfdmky to significantly reduce its energy consumption during its operational lifespan. Explore lower-power components, efficient software, and intelligent power management features.</w:t>
      </w:r>
    </w:p>
    <w:p>
      <w:pPr>
        <w:numPr>
          <w:ilvl w:val="0"/>
          <w:numId w:val="1017"/>
        </w:numPr>
        <w:pStyle w:val="Compact"/>
      </w:pPr>
      <w:r>
        <w:rPr>
          <w:bCs/>
          <w:b/>
        </w:rPr>
        <w:t xml:space="preserve">Promote Renewable Energy Adoption:</w:t>
      </w:r>
      <w:r>
        <w:t xml:space="preserve"> </w:t>
      </w:r>
      <w:r>
        <w:t xml:space="preserve">Encourage end-users to power the product with renewable energy where possible, perhaps through partnerships or information campaigns.</w:t>
      </w:r>
    </w:p>
    <w:p>
      <w:pPr>
        <w:numPr>
          <w:ilvl w:val="0"/>
          <w:numId w:val="1017"/>
        </w:numPr>
        <w:pStyle w:val="Compact"/>
      </w:pPr>
      <w:r>
        <w:rPr>
          <w:bCs/>
          <w:b/>
        </w:rPr>
        <w:t xml:space="preserve">Material Optimization and Design for Circularity:</w:t>
      </w:r>
    </w:p>
    <w:p>
      <w:pPr>
        <w:numPr>
          <w:ilvl w:val="1"/>
          <w:numId w:val="1018"/>
        </w:numPr>
        <w:pStyle w:val="Compact"/>
      </w:pPr>
      <w:r>
        <w:t xml:space="preserve">Investigate alternative, lower-carbon materials for the chassis and casing, or explore recycled content options.</w:t>
      </w:r>
    </w:p>
    <w:p>
      <w:pPr>
        <w:numPr>
          <w:ilvl w:val="1"/>
          <w:numId w:val="1018"/>
        </w:numPr>
        <w:pStyle w:val="Compact"/>
      </w:pPr>
      <w:r>
        <w:t xml:space="preserve">Optimize product design to reduce material quantity without compromising functionality.</w:t>
      </w:r>
    </w:p>
    <w:p>
      <w:pPr>
        <w:numPr>
          <w:ilvl w:val="1"/>
          <w:numId w:val="1018"/>
        </w:numPr>
        <w:pStyle w:val="Compact"/>
      </w:pPr>
      <w:r>
        <w:t xml:space="preserve">Further enhance recyclability beyond 80% and expand take-back schemes, including exploring options for product refurbishment and remanufacturing to extend product lifespans and avoid new production.</w:t>
      </w:r>
    </w:p>
    <w:p>
      <w:pPr>
        <w:numPr>
          <w:ilvl w:val="0"/>
          <w:numId w:val="1017"/>
        </w:numPr>
        <w:pStyle w:val="Compact"/>
      </w:pPr>
      <w:r>
        <w:rPr>
          <w:bCs/>
          <w:b/>
        </w:rPr>
        <w:t xml:space="preserve">Supply Chain Engagement:</w:t>
      </w:r>
      <w:r>
        <w:t xml:space="preserve"> </w:t>
      </w:r>
      <w:r>
        <w:t xml:space="preserve">Work with material suppliers to collect primary emission data and encourage their transition to lower-carbon production methods and renewable energy.</w:t>
      </w:r>
    </w:p>
    <w:p>
      <w:pPr>
        <w:numPr>
          <w:ilvl w:val="0"/>
          <w:numId w:val="1017"/>
        </w:numPr>
        <w:pStyle w:val="Compact"/>
      </w:pPr>
      <w:r>
        <w:rPr>
          <w:bCs/>
          <w:b/>
        </w:rPr>
        <w:t xml:space="preserve">Logistics Efficiency:</w:t>
      </w:r>
      <w:r>
        <w:t xml:space="preserve"> </w:t>
      </w:r>
      <w:r>
        <w:t xml:space="preserve">Optimize transport routes, explore lower-emission transport modes where feasible (e.g., rail instead of road for longer distances), and consolidate shipments to improve load factors.</w:t>
      </w:r>
    </w:p>
    <w:p>
      <w:r>
        <w:pict>
          <v:rect style="width:0;height:1.5pt" o:hralign="center" o:hrstd="t" o:hr="t"/>
        </w:pict>
      </w:r>
    </w:p>
    <w:p>
      <w:pPr>
        <w:pStyle w:val="FirstParagraph"/>
      </w:pPr>
      <w:r>
        <w:t xml:space="preserve">Confidential - Internal Use Only | Page 1 of 1 (Simulated)</w:t>
      </w:r>
    </w:p>
    <w:p>
      <w:pPr>
        <w:pStyle w:val="BodyText"/>
      </w:pPr>
      <w:r>
        <w:t xml:space="preserve">print(google_search.search(queries=["GHG Protocol Scope 3 categories", "2026 GHG Protocol Land Sector and Removals (LSR) Standard summary", "Ecoinvent emission factor road freight", "DEFRA emission factors electricity grid average Europe"]))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mvxslfdmky</dc:title>
  <dc:creator/>
  <dc:description>Detailed Product Carbon Footprint (PCF) analysis report for mvxslfdmky, following GHG Protocol standards and 2026 LSR update, conducted by Senior Sustainability Consultant lpvknknkdm for diqxnoosmz.</dc:description>
  <dc:language>en</dc:language>
  <cp:keywords/>
  <dcterms:created xsi:type="dcterms:W3CDTF">2026-07-15T12:49:30Z</dcterms:created>
  <dcterms:modified xsi:type="dcterms:W3CDTF">2026-07-15T12:49:30Z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