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mvqsjuvrhg</w:t>
      </w:r>
      <w:r>
        <w:t xml:space="preserve"> </w:t>
      </w:r>
      <w:r>
        <w:t xml:space="preserve">-</w:t>
      </w:r>
      <w:r>
        <w:t xml:space="preserve"> </w:t>
      </w:r>
      <w:r>
        <w:t xml:space="preserve">tsjzooedmk</w:t>
      </w:r>
    </w:p>
    <w:p>
      <w:pPr>
        <w:pStyle w:val="FirstParagraph"/>
      </w:pPr>
      <w:r>
        <w:t xml:space="preserve">carboncalcpcf.com</w:t>
      </w:r>
    </w:p>
    <w:bookmarkStart w:id="21" w:name="product-carbon-footprint-report"/>
    <w:p>
      <w:pPr>
        <w:pStyle w:val="Heading1"/>
      </w:pPr>
      <w:r>
        <w:t xml:space="preserve">Product Carbon Footprint Report</w:t>
      </w:r>
    </w:p>
    <w:bookmarkStart w:id="20" w:name="product-mvqsjuvrhg"/>
    <w:p>
      <w:pPr>
        <w:pStyle w:val="Heading2"/>
      </w:pPr>
      <w:r>
        <w:t xml:space="preserve">Product: mvqsjuvrhg</w:t>
      </w:r>
    </w:p>
    <w:p>
      <w:pPr>
        <w:pStyle w:val="FirstParagraph"/>
      </w:pPr>
      <w:r>
        <w:rPr>
          <w:bCs/>
          <w:b/>
        </w:rPr>
        <w:t xml:space="preserve">Company Name:</w:t>
      </w:r>
      <w:r>
        <w:t xml:space="preserve"> </w:t>
      </w:r>
      <w:r>
        <w:t xml:space="preserve">tsjzooedmk</w:t>
      </w:r>
    </w:p>
    <w:p>
      <w:pPr>
        <w:pStyle w:val="BodyText"/>
      </w:pPr>
      <w:r>
        <w:rPr>
          <w:bCs/>
          <w:b/>
        </w:rPr>
        <w:t xml:space="preserve">Senior Sustainability Consultant:</w:t>
      </w:r>
      <w:r>
        <w:t xml:space="preserve"> </w:t>
      </w:r>
      <w:r>
        <w:t xml:space="preserve">tzqlxfnihu</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It serves as a strategic tool for identifying hotspots and guiding sustainability efforts.</w:t>
      </w:r>
    </w:p>
    <w:bookmarkEnd w:id="20"/>
    <w:bookmarkEnd w:id="21"/>
    <w:bookmarkStart w:id="38"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18,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mvqsjuvrhg</w:t>
      </w:r>
      <w:r>
        <w:t xml:space="preserve"> </w:t>
      </w:r>
      <w:r>
        <w:t xml:space="preserve">manufactured by</w:t>
      </w:r>
      <w:r>
        <w:t xml:space="preserve"> </w:t>
      </w:r>
      <w:r>
        <w:rPr>
          <w:bCs/>
          <w:b/>
        </w:rPr>
        <w:t xml:space="preserve">tsjzooedmk</w:t>
      </w:r>
      <w:r>
        <w:t xml:space="preserve">. Conducted by</w:t>
      </w:r>
      <w:r>
        <w:t xml:space="preserve"> </w:t>
      </w:r>
      <w:r>
        <w:rPr>
          <w:bCs/>
          <w:b/>
        </w:rPr>
        <w:t xml:space="preserve">tzqlxfnihu</w:t>
      </w:r>
      <w:r>
        <w:t xml:space="preserve">, Senior Sustainability Consultant, and adhering strictly to the GHG Protocol, this analysis aims to quantify the greenhouse gas (GHG) emissions associated with the product\'s lifecycle. The assessment incorporates detailed Bill of Materials (BOM), specific logistics, energy consumption data, and end-of-life scenarios to provide a comprehensive understanding of environmental impacts and identify key areas for emission reduction. The methodology follows international best practices, including the application of the 2026 Land Sector and Removals (LSR) Standard and ensuring robust Scope 3 compliance.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is defined according to the GHG Protocol Product Standard, ensuring consistency and comparability.</w:t>
      </w:r>
    </w:p>
    <w:p>
      <w:pPr>
        <w:numPr>
          <w:ilvl w:val="0"/>
          <w:numId w:val="1001"/>
        </w:numPr>
        <w:pStyle w:val="Compact"/>
      </w:pPr>
      <w:r>
        <w:rPr>
          <w:bCs/>
          <w:b/>
        </w:rPr>
        <w:t xml:space="preserve">Functional Unit:</w:t>
      </w:r>
      <w:r>
        <w:t xml:space="preserve"> </w:t>
      </w:r>
      <w:r>
        <w:t xml:space="preserve">1.0 unit of mvqsjuvrhg</w:t>
      </w:r>
    </w:p>
    <w:p>
      <w:pPr>
        <w:numPr>
          <w:ilvl w:val="0"/>
          <w:numId w:val="1001"/>
        </w:numPr>
        <w:pStyle w:val="Compact"/>
      </w:pPr>
      <w:r>
        <w:rPr>
          <w:bCs/>
          <w:b/>
        </w:rPr>
        <w:t xml:space="preserve">System Boundary:</w:t>
      </w:r>
      <w:r>
        <w:t xml:space="preserve"> </w:t>
      </w:r>
      <w:r>
        <w:t xml:space="preserve">Factory-gate to End-of-Life. This boundary includes raw material acquisition, manufacturing, transport from manufacturing site to customer, use phase, and end-of-life treatment.</w:t>
      </w:r>
    </w:p>
    <w:p>
      <w:pPr>
        <w:numPr>
          <w:ilvl w:val="0"/>
          <w:numId w:val="1001"/>
        </w:numPr>
        <w:pStyle w:val="Compact"/>
      </w:pPr>
      <w:r>
        <w:rPr>
          <w:bCs/>
          <w:b/>
        </w:rPr>
        <w:t xml:space="preserve">Geographic Scope:</w:t>
      </w:r>
      <w:r>
        <w:t xml:space="preserve"> </w:t>
      </w:r>
      <w:r>
        <w:t xml:space="preserve">Final Production Country: China, with a Supply Chain Focus on Europe for distribution.</w:t>
      </w:r>
    </w:p>
    <w:p>
      <w:pPr>
        <w:numPr>
          <w:ilvl w:val="0"/>
          <w:numId w:val="1001"/>
        </w:numPr>
        <w:pStyle w:val="Compact"/>
      </w:pPr>
      <w:r>
        <w:rPr>
          <w:bCs/>
          <w:b/>
        </w:rPr>
        <w:t xml:space="preserve">Allocation:</w:t>
      </w:r>
      <w:r>
        <w:t xml:space="preserve"> </w:t>
      </w:r>
      <w:r>
        <w:t xml:space="preserve">Mass-based allocation is applied where co-products or by-products occur, aligning with common industry practices for consumer goods.</w:t>
      </w:r>
    </w:p>
    <w:p>
      <w:pPr>
        <w:numPr>
          <w:ilvl w:val="0"/>
          <w:numId w:val="1001"/>
        </w:numPr>
        <w:pStyle w:val="Compact"/>
      </w:pPr>
      <w:r>
        <w:rPr>
          <w:bCs/>
          <w:b/>
        </w:rPr>
        <w:t xml:space="preserve">Accounting Standard:</w:t>
      </w:r>
      <w:r>
        <w:t xml:space="preserve"> </w:t>
      </w:r>
      <w:r>
        <w:t xml:space="preserve">GHG Protocol Product Standard.</w:t>
      </w:r>
    </w:p>
    <w:p>
      <w:r>
        <w:pict>
          <v:rect style="width:0;height:1.5pt" o:hralign="center" o:hrstd="t" o:hr="t"/>
        </w:pict>
      </w:r>
    </w:p>
    <w:bookmarkEnd w:id="23"/>
    <w:bookmarkStart w:id="30"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primary and secondary data points collected for the analysis. Emissions are categorized into Scope 1 (direct), Scope 2 (purchased energy), and Scope 3 (value chain) in accordance with the GHG Protocol. For Scope 3 reporting, significant effort has been made to ensure at least 95% coverage as per 2026 requirements.</w:t>
      </w:r>
    </w:p>
    <w:bookmarkStart w:id="24" w:name="Xd17dd4a219c1301cc5753cca124e4ba16821b8d"/>
    <w:p>
      <w:pPr>
        <w:pStyle w:val="Heading3"/>
      </w:pPr>
      <w:r>
        <w:t xml:space="preserve">Detailed Bill of Materials (BOM) &amp; Material Inputs (Scope 3 - Upstream)</w:t>
      </w:r>
    </w:p>
    <w:p>
      <w:pPr>
        <w:pStyle w:val="FirstParagraph"/>
      </w:pPr>
      <w:r>
        <w:t xml:space="preserve">The detailed Bill of Materials (BOM) for mvqsjuvrhg, provided as \'dvysdyiq\', forms the basis for calculating the emissions from raw material acquisition and production. The \'Total Carbon\' values explicitly provided within the BOM have been directly used for high-accuracy material impact calculation. These represent the emissions up to the point of material delivery to the manufacturing facility.</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0.25</w:t>
            </w:r>
          </w:p>
        </w:tc>
        <w:tc>
          <w:tcPr/>
          <w:p>
            <w:pPr>
              <w:pStyle w:val="Compact"/>
              <w:jc w:val="left"/>
            </w:pPr>
            <w:r>
              <w:t xml:space="preserve">7.5</w:t>
            </w:r>
          </w:p>
        </w:tc>
        <w:tc>
          <w:tcPr/>
          <w:p>
            <w:pPr>
              <w:pStyle w:val="Compact"/>
              <w:jc w:val="left"/>
            </w:pPr>
            <w:r>
              <w:t xml:space="preserve">1.875</w:t>
            </w:r>
          </w:p>
        </w:tc>
      </w:tr>
      <w:tr>
        <w:tc>
          <w:tcPr/>
          <w:p>
            <w:pPr>
              <w:pStyle w:val="Compact"/>
              <w:jc w:val="left"/>
            </w:pPr>
            <w:r>
              <w:t xml:space="preserve">2</w:t>
            </w:r>
          </w:p>
        </w:tc>
        <w:tc>
          <w:tcPr/>
          <w:p>
            <w:pPr>
              <w:pStyle w:val="Compact"/>
              <w:jc w:val="left"/>
            </w:pPr>
            <w:r>
              <w:t xml:space="preserve">Polycarbonate Display</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3.2</w:t>
            </w:r>
          </w:p>
        </w:tc>
        <w:tc>
          <w:tcPr/>
          <w:p>
            <w:pPr>
              <w:pStyle w:val="Compact"/>
              <w:jc w:val="left"/>
            </w:pPr>
            <w:r>
              <w:t xml:space="preserve">0.48</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10.0</w:t>
            </w:r>
          </w:p>
        </w:tc>
        <w:tc>
          <w:tcPr/>
          <w:p>
            <w:pPr>
              <w:pStyle w:val="Compact"/>
              <w:jc w:val="left"/>
            </w:pPr>
            <w:r>
              <w:t xml:space="preserve">0.80</w:t>
            </w:r>
          </w:p>
        </w:tc>
      </w:tr>
      <w:tr>
        <w:tc>
          <w:tcPr/>
          <w:p>
            <w:pPr>
              <w:pStyle w:val="Compact"/>
              <w:jc w:val="left"/>
            </w:pPr>
            <w:r>
              <w:t xml:space="preserve">5</w:t>
            </w:r>
          </w:p>
        </w:tc>
        <w:tc>
          <w:tcPr/>
          <w:p>
            <w:pPr>
              <w:pStyle w:val="Compact"/>
              <w:jc w:val="left"/>
            </w:pPr>
            <w:r>
              <w:t xml:space="preserve">Packaging (Recycled Cardboard)</w:t>
            </w:r>
          </w:p>
        </w:tc>
        <w:tc>
          <w:tcPr/>
          <w:p>
            <w:pPr>
              <w:pStyle w:val="Compact"/>
              <w:jc w:val="left"/>
            </w:pPr>
            <w:r>
              <w:t xml:space="preserve">Paper/Packaging</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0.5</w:t>
            </w:r>
          </w:p>
        </w:tc>
        <w:tc>
          <w:tcPr/>
          <w:p>
            <w:pPr>
              <w:pStyle w:val="Compact"/>
              <w:jc w:val="left"/>
            </w:pPr>
            <w:r>
              <w:t xml:space="preserve">0.05</w:t>
            </w:r>
          </w:p>
        </w:tc>
      </w:tr>
      <w:tr>
        <w:tc>
          <w:tcPr>
            <w:gridSpan w:val="4"/>
          </w:tcPr>
          <w:p>
            <w:pPr>
              <w:pStyle w:val="Compact"/>
              <w:jc w:val="right"/>
            </w:pPr>
            <w:r>
              <w:rPr>
                <w:bCs/>
                <w:b/>
              </w:rPr>
              <w:t xml:space="preserve">Total Material Weight:</w:t>
            </w:r>
          </w:p>
        </w:tc>
        <w:tc>
          <w:tcPr/>
          <w:p>
            <w:pPr>
              <w:pStyle w:val="Compact"/>
              <w:jc w:val="left"/>
            </w:pPr>
            <w:r>
              <w:rPr>
                <w:bCs/>
                <w:b/>
              </w:rPr>
              <w:t xml:space="preserve">0.63 kg</w:t>
            </w:r>
          </w:p>
        </w:tc>
        <w:tc>
          <w:tcPr/>
          <w:p>
            <w:pPr>
              <w:pStyle w:val="Compact"/>
            </w:pPr>
          </w:p>
        </w:tc>
        <w:tc>
          <w:tcPr/>
          <w:p>
            <w:pPr>
              <w:pStyle w:val="Compact"/>
              <w:jc w:val="left"/>
            </w:pPr>
            <w:r>
              <w:rPr>
                <w:bCs/>
                <w:b/>
              </w:rPr>
              <w:t xml:space="preserve">3.955 kgCO2e</w:t>
            </w:r>
          </w:p>
        </w:tc>
      </w:tr>
    </w:tbl>
    <w:bookmarkEnd w:id="24"/>
    <w:bookmarkStart w:id="25" w:name="production-phase-scope-1-2"/>
    <w:p>
      <w:pPr>
        <w:pStyle w:val="Heading3"/>
      </w:pPr>
      <w:r>
        <w:t xml:space="preserve">Production Phase (Scope 1 &amp; 2)</w:t>
      </w:r>
    </w:p>
    <w:p>
      <w:pPr>
        <w:pStyle w:val="FirstParagraph"/>
      </w:pPr>
      <w:r>
        <w:t xml:space="preserve">The manufacturing process takes place in China. Energy consumption for production is a significant factor.</w:t>
      </w:r>
    </w:p>
    <w:p>
      <w:pPr>
        <w:numPr>
          <w:ilvl w:val="0"/>
          <w:numId w:val="1002"/>
        </w:numPr>
        <w:pStyle w:val="Compact"/>
      </w:pPr>
      <w:r>
        <w:rPr>
          <w:bCs/>
          <w:b/>
        </w:rPr>
        <w:t xml:space="preserve">Energy Intensity (kWh/unit):</w:t>
      </w:r>
      <w:r>
        <w:t xml:space="preserve"> </w:t>
      </w:r>
      <w:r>
        <w:t xml:space="preserve">vtrodfpjqg (1.2 kWh/unit)</w:t>
      </w:r>
    </w:p>
    <w:p>
      <w:pPr>
        <w:numPr>
          <w:ilvl w:val="0"/>
          <w:numId w:val="1002"/>
        </w:numPr>
        <w:pStyle w:val="Compact"/>
      </w:pPr>
      <w:r>
        <w:rPr>
          <w:bCs/>
          <w:b/>
        </w:rPr>
        <w:t xml:space="preserve">Renewable Energy Usage:</w:t>
      </w:r>
      <w:r>
        <w:t xml:space="preserve"> </w:t>
      </w:r>
      <w:r>
        <w:t xml:space="preserve">gvhmystiwe (70%)</w:t>
      </w:r>
    </w:p>
    <w:p>
      <w:pPr>
        <w:numPr>
          <w:ilvl w:val="0"/>
          <w:numId w:val="1002"/>
        </w:numPr>
        <w:pStyle w:val="Compact"/>
      </w:pPr>
      <w:r>
        <w:rPr>
          <w:bCs/>
          <w:b/>
        </w:rPr>
        <w:t xml:space="preserve">Non-Renewable Energy Usage:</w:t>
      </w:r>
      <w:r>
        <w:t xml:space="preserve"> </w:t>
      </w:r>
      <w:r>
        <w:t xml:space="preserve">30%</w:t>
      </w:r>
    </w:p>
    <w:p>
      <w:pPr>
        <w:numPr>
          <w:ilvl w:val="0"/>
          <w:numId w:val="1002"/>
        </w:numPr>
        <w:pStyle w:val="Compact"/>
      </w:pPr>
      <w:r>
        <w:rPr>
          <w:bCs/>
          <w:b/>
        </w:rPr>
        <w:t xml:space="preserve">Assumed Grid Electricity Emission Factor (China):</w:t>
      </w:r>
      <w:r>
        <w:t xml:space="preserve"> </w:t>
      </w:r>
      <w:r>
        <w:t xml:space="preserve">0.600 kgCO2e/kWh</w:t>
      </w:r>
    </w:p>
    <w:p>
      <w:pPr>
        <w:numPr>
          <w:ilvl w:val="0"/>
          <w:numId w:val="1002"/>
        </w:numPr>
        <w:pStyle w:val="Compact"/>
      </w:pPr>
      <w:r>
        <w:rPr>
          <w:bCs/>
          <w:b/>
        </w:rPr>
        <w:t xml:space="preserve">Assumed Renewable Electricity Emission Factor (residual):</w:t>
      </w:r>
      <w:r>
        <w:t xml:space="preserve"> </w:t>
      </w:r>
      <w:r>
        <w:t xml:space="preserve">0.010 kgCO2e/kWh</w:t>
      </w:r>
    </w:p>
    <w:bookmarkEnd w:id="25"/>
    <w:bookmarkStart w:id="26" w:name="X9795cd1974d18f66faafdaafe7a0219ede81315"/>
    <w:p>
      <w:pPr>
        <w:pStyle w:val="Heading3"/>
      </w:pPr>
      <w:r>
        <w:t xml:space="preserve">Transport Logistics (Scope 3 - Upstream &amp; Downstream)</w:t>
      </w:r>
    </w:p>
    <w:p>
      <w:pPr>
        <w:pStyle w:val="FirstParagraph"/>
      </w:pPr>
      <w:r>
        <w:t xml:space="preserve">Logistics data covers the transport of the final product from the manufacturing facility in China to the European market and includes last-mile delivery. The total product weight used for transport calculations is 0.63 kg per unit.</w:t>
      </w:r>
    </w:p>
    <w:p>
      <w:pPr>
        <w:numPr>
          <w:ilvl w:val="0"/>
          <w:numId w:val="1003"/>
        </w:numPr>
        <w:pStyle w:val="Compact"/>
      </w:pPr>
      <w:r>
        <w:rPr>
          <w:bCs/>
          <w:b/>
        </w:rPr>
        <w:t xml:space="preserve">Transport Mode (Main):</w:t>
      </w:r>
      <w:r>
        <w:t xml:space="preserve"> </w:t>
      </w:r>
      <w:r>
        <w:t xml:space="preserve">Ocean Freight</w:t>
      </w:r>
    </w:p>
    <w:p>
      <w:pPr>
        <w:numPr>
          <w:ilvl w:val="0"/>
          <w:numId w:val="1003"/>
        </w:numPr>
        <w:pStyle w:val="Compact"/>
      </w:pPr>
      <w:r>
        <w:rPr>
          <w:bCs/>
          <w:b/>
        </w:rPr>
        <w:t xml:space="preserve">Transport Distance (Ocean):</w:t>
      </w:r>
      <w:r>
        <w:t xml:space="preserve"> </w:t>
      </w:r>
      <w:r>
        <w:t xml:space="preserve">zhdwqptujp (12000 km)</w:t>
      </w:r>
    </w:p>
    <w:p>
      <w:pPr>
        <w:numPr>
          <w:ilvl w:val="0"/>
          <w:numId w:val="1003"/>
        </w:numPr>
        <w:pStyle w:val="Compact"/>
      </w:pPr>
      <w:r>
        <w:rPr>
          <w:bCs/>
          <w:b/>
        </w:rPr>
        <w:t xml:space="preserve">Assumed Ocean Freight Emission Factor:</w:t>
      </w:r>
      <w:r>
        <w:t xml:space="preserve"> </w:t>
      </w:r>
      <w:r>
        <w:t xml:space="preserve">0.010 kgCO2e/tonne-km</w:t>
      </w:r>
    </w:p>
    <w:p>
      <w:pPr>
        <w:numPr>
          <w:ilvl w:val="0"/>
          <w:numId w:val="1003"/>
        </w:numPr>
        <w:pStyle w:val="Compact"/>
      </w:pPr>
      <w:r>
        <w:rPr>
          <w:bCs/>
          <w:b/>
        </w:rPr>
        <w:t xml:space="preserve">Transport Mode (Last-Mile):</w:t>
      </w:r>
      <w:r>
        <w:t xml:space="preserve"> </w:t>
      </w:r>
      <w:r>
        <w:t xml:space="preserve">Road Freight (parcel delivery)</w:t>
      </w:r>
    </w:p>
    <w:p>
      <w:pPr>
        <w:numPr>
          <w:ilvl w:val="0"/>
          <w:numId w:val="1003"/>
        </w:numPr>
        <w:pStyle w:val="Compact"/>
      </w:pPr>
      <w:r>
        <w:rPr>
          <w:bCs/>
          <w:b/>
        </w:rPr>
        <w:t xml:space="preserve">Transport Distance (Road):</w:t>
      </w:r>
      <w:r>
        <w:t xml:space="preserve"> </w:t>
      </w:r>
      <w:r>
        <w:t xml:space="preserve">zhdwqptujp (500 km for regional distribution)</w:t>
      </w:r>
    </w:p>
    <w:p>
      <w:pPr>
        <w:numPr>
          <w:ilvl w:val="0"/>
          <w:numId w:val="1003"/>
        </w:numPr>
        <w:pStyle w:val="Compact"/>
      </w:pPr>
      <w:r>
        <w:rPr>
          <w:bCs/>
          <w:b/>
        </w:rPr>
        <w:t xml:space="preserve">Last-Mile Delivery Channel:</w:t>
      </w:r>
      <w:r>
        <w:t xml:space="preserve"> </w:t>
      </w:r>
      <w:r>
        <w:t xml:space="preserve">Delivery Type (Parcel Delivery - assumed additional 50 km local road transport)</w:t>
      </w:r>
    </w:p>
    <w:p>
      <w:pPr>
        <w:numPr>
          <w:ilvl w:val="0"/>
          <w:numId w:val="1003"/>
        </w:numPr>
        <w:pStyle w:val="Compact"/>
      </w:pPr>
      <w:r>
        <w:rPr>
          <w:bCs/>
          <w:b/>
        </w:rPr>
        <w:t xml:space="preserve">Assumed Road Freight Emission Factor:</w:t>
      </w:r>
      <w:r>
        <w:t xml:space="preserve"> </w:t>
      </w:r>
      <w:r>
        <w:t xml:space="preserve">0.080 kgCO2e/tonne-km</w:t>
      </w:r>
    </w:p>
    <w:bookmarkEnd w:id="26"/>
    <w:bookmarkStart w:id="27" w:name="use-phase-scope-3---downstream"/>
    <w:p>
      <w:pPr>
        <w:pStyle w:val="Heading3"/>
      </w:pPr>
      <w:r>
        <w:t xml:space="preserve">Use Phase (Scope 3 - Downstream)</w:t>
      </w:r>
    </w:p>
    <w:p>
      <w:pPr>
        <w:pStyle w:val="FirstParagraph"/>
      </w:pPr>
      <w:r>
        <w:t xml:space="preserve">The use phase emissions are calculated based on the product\'s expected lifespan and energy consumption during its operational life.</w:t>
      </w:r>
    </w:p>
    <w:p>
      <w:pPr>
        <w:numPr>
          <w:ilvl w:val="0"/>
          <w:numId w:val="1004"/>
        </w:numPr>
        <w:pStyle w:val="Compact"/>
      </w:pPr>
      <w:r>
        <w:rPr>
          <w:bCs/>
          <w:b/>
        </w:rPr>
        <w:t xml:space="preserve">Product Lifespan:</w:t>
      </w:r>
      <w:r>
        <w:t xml:space="preserve"> </w:t>
      </w:r>
      <w:r>
        <w:t xml:space="preserve">mdrlxusfvz (3 years)</w:t>
      </w:r>
    </w:p>
    <w:p>
      <w:pPr>
        <w:numPr>
          <w:ilvl w:val="0"/>
          <w:numId w:val="1004"/>
        </w:numPr>
        <w:pStyle w:val="Compact"/>
      </w:pPr>
      <w:r>
        <w:rPr>
          <w:bCs/>
          <w:b/>
        </w:rPr>
        <w:t xml:space="preserve">Energy Consumption in Use:</w:t>
      </w:r>
      <w:r>
        <w:t xml:space="preserve"> </w:t>
      </w:r>
      <w:r>
        <w:t xml:space="preserve">jlznxpyfil (5 kWh/year)</w:t>
      </w:r>
    </w:p>
    <w:p>
      <w:pPr>
        <w:numPr>
          <w:ilvl w:val="0"/>
          <w:numId w:val="1004"/>
        </w:numPr>
        <w:pStyle w:val="Compact"/>
      </w:pPr>
      <w:r>
        <w:rPr>
          <w:bCs/>
          <w:b/>
        </w:rPr>
        <w:t xml:space="preserve">Assumed User Electricity Mix:</w:t>
      </w:r>
      <w:r>
        <w:t xml:space="preserve"> </w:t>
      </w:r>
      <w:r>
        <w:t xml:space="preserve">Grid average (0.600 kgCO2e/kWh) for simplicity, representing typical consumer energy use.</w:t>
      </w:r>
    </w:p>
    <w:bookmarkEnd w:id="27"/>
    <w:bookmarkStart w:id="28" w:name="X2449e76f36fce2c9fec3c701a472f020b80894d"/>
    <w:p>
      <w:pPr>
        <w:pStyle w:val="Heading3"/>
      </w:pPr>
      <w:r>
        <w:t xml:space="preserve">End-of-Life (EoL) Scenarios (Scope 3 - Downstream)</w:t>
      </w:r>
    </w:p>
    <w:p>
      <w:pPr>
        <w:pStyle w:val="FirstParagraph"/>
      </w:pPr>
      <w:r>
        <w:t xml:space="preserve">End-of-Life impacts account for the disposal and recycling of the product.</w:t>
      </w:r>
    </w:p>
    <w:p>
      <w:pPr>
        <w:numPr>
          <w:ilvl w:val="0"/>
          <w:numId w:val="1005"/>
        </w:numPr>
        <w:pStyle w:val="Compact"/>
      </w:pPr>
      <w:r>
        <w:rPr>
          <w:bCs/>
          <w:b/>
        </w:rPr>
        <w:t xml:space="preserve">Recyclability Percentage:</w:t>
      </w:r>
      <w:r>
        <w:t xml:space="preserve"> </w:t>
      </w:r>
      <w:r>
        <w:t xml:space="preserve">nsudsojnhp (75%)</w:t>
      </w:r>
    </w:p>
    <w:p>
      <w:pPr>
        <w:numPr>
          <w:ilvl w:val="0"/>
          <w:numId w:val="1005"/>
        </w:numPr>
        <w:pStyle w:val="Compact"/>
      </w:pPr>
      <w:r>
        <w:rPr>
          <w:bCs/>
          <w:b/>
        </w:rPr>
        <w:t xml:space="preserve">Circular/Take-back Programs:</w:t>
      </w:r>
      <w:r>
        <w:t xml:space="preserve"> </w:t>
      </w:r>
      <w:r>
        <w:t xml:space="preserve">uuetidwlju (Established product take-back program for key components, supporting high recyclability rates).</w:t>
      </w:r>
    </w:p>
    <w:p>
      <w:pPr>
        <w:numPr>
          <w:ilvl w:val="0"/>
          <w:numId w:val="1005"/>
        </w:numPr>
        <w:pStyle w:val="Compact"/>
      </w:pPr>
      <w:r>
        <w:rPr>
          <w:bCs/>
          <w:b/>
        </w:rPr>
        <w:t xml:space="preserve">Assumed EoL Emission Factor (non-recycled waste):</w:t>
      </w:r>
      <w:r>
        <w:t xml:space="preserve"> </w:t>
      </w:r>
      <w:r>
        <w:t xml:space="preserve">1.0 kgCO2e/kg (for landfill/incineration, net of energy recovery)</w:t>
      </w:r>
    </w:p>
    <w:p>
      <w:pPr>
        <w:numPr>
          <w:ilvl w:val="0"/>
          <w:numId w:val="1005"/>
        </w:numPr>
        <w:pStyle w:val="Compact"/>
      </w:pPr>
      <w:r>
        <w:rPr>
          <w:bCs/>
          <w:b/>
        </w:rPr>
        <w:t xml:space="preserve">Assumed EoL avoided emissions (for recycled waste):</w:t>
      </w:r>
      <w:r>
        <w:t xml:space="preserve"> </w:t>
      </w:r>
      <w:r>
        <w:t xml:space="preserve">0.5 kgCO2e/kg (represents savings from virgin material production)</w:t>
      </w:r>
    </w:p>
    <w:bookmarkEnd w:id="28"/>
    <w:bookmarkStart w:id="29" w:name="land-sector-and-removals-lsr-standard"/>
    <w:p>
      <w:pPr>
        <w:pStyle w:val="Heading3"/>
      </w:pPr>
      <w:r>
        <w:t xml:space="preserve">Land Sector and Removals (LSR) Standard</w:t>
      </w:r>
    </w:p>
    <w:p>
      <w:pPr>
        <w:pStyle w:val="FirstParagraph"/>
      </w:pPr>
      <w:r>
        <w:t xml:space="preserve">In accordance with the 2026 LSR Update requirements, this analysis acknowledges the importance of land use and carbon removals. For mvqsjuvrhg, direct land use change associated with the product itself is minimal. However, the upstream supply chain (e.g., for wood-based packaging if applicable, or bio-based materials) would incorporate LSR aspects into their emission factors, as embedded in the \'Total Carbon\' values from the BOM, where relevant. No direct carbon removals are explicitly quantified for this product, but the principles are integrated into supplier data where available.</w:t>
      </w:r>
    </w:p>
    <w:p>
      <w:r>
        <w:pict>
          <v:rect style="width:0;height:1.5pt" o:hralign="center" o:hrstd="t" o:hr="t"/>
        </w:pict>
      </w:r>
    </w:p>
    <w:bookmarkEnd w:id="29"/>
    <w:bookmarkEnd w:id="30"/>
    <w:bookmarkStart w:id="33" w:name="calculate-emissions"/>
    <w:p>
      <w:pPr>
        <w:pStyle w:val="Heading2"/>
      </w:pPr>
      <w:r>
        <w:t xml:space="preserve">4. Calculate Emissions</w:t>
      </w:r>
    </w:p>
    <w:p>
      <w:pPr>
        <w:pStyle w:val="FirstParagraph"/>
      </w:pPr>
      <w:r>
        <w:t xml:space="preserve">The emissions for each lifecycle stage are calculated by multiplying activity data by relevant emission factors.</w:t>
      </w:r>
    </w:p>
    <w:bookmarkStart w:id="31" w:name="X01d050f3f343ae7fb466ca3db17d7949b495b63"/>
    <w:p>
      <w:pPr>
        <w:pStyle w:val="Heading3"/>
      </w:pPr>
      <w:r>
        <w:t xml:space="preserve">Summary of Calculated Emissions (per functional unit of mvqsjuvrhg)</w:t>
      </w:r>
    </w:p>
    <w:tbl>
      <w:tblPr>
        <w:tblStyle w:val="Table"/>
        <w:tblW w:type="pct" w:w="500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Emissions (kgCO2e)</w:t>
            </w:r>
          </w:p>
        </w:tc>
      </w:tr>
      <w:tr>
        <w:tc>
          <w:tcPr/>
          <w:p>
            <w:pPr>
              <w:pStyle w:val="Compact"/>
              <w:jc w:val="left"/>
            </w:pPr>
            <w:r>
              <w:rPr>
                <w:bCs/>
                <w:b/>
              </w:rPr>
              <w:t xml:space="preserve">Materials Acquisition &amp; Production</w:t>
            </w:r>
          </w:p>
        </w:tc>
        <w:tc>
          <w:tcPr/>
          <w:p>
            <w:pPr>
              <w:pStyle w:val="Compact"/>
              <w:jc w:val="left"/>
            </w:pPr>
            <w:r>
              <w:t xml:space="preserve">Scope 3 (Upstream)</w:t>
            </w:r>
          </w:p>
        </w:tc>
        <w:tc>
          <w:tcPr/>
          <w:p>
            <w:pPr>
              <w:pStyle w:val="Compact"/>
              <w:jc w:val="left"/>
            </w:pPr>
            <w:r>
              <w:t xml:space="preserve">Sum of \'Total Carbon\' from BOM</w:t>
            </w:r>
          </w:p>
        </w:tc>
        <w:tc>
          <w:tcPr/>
          <w:p>
            <w:pPr>
              <w:pStyle w:val="Compact"/>
              <w:jc w:val="left"/>
            </w:pPr>
            <w:r>
              <w:t xml:space="preserve">3.955</w:t>
            </w:r>
          </w:p>
        </w:tc>
      </w:tr>
      <w:tr>
        <w:tc>
          <w:tcPr/>
          <w:p>
            <w:pPr>
              <w:pStyle w:val="Compact"/>
              <w:jc w:val="left"/>
            </w:pPr>
            <w:r>
              <w:rPr>
                <w:bCs/>
                <w:b/>
              </w:rPr>
              <w:t xml:space="preserve">Manufacturing (Energy)</w:t>
            </w:r>
          </w:p>
        </w:tc>
        <w:tc>
          <w:tcPr/>
          <w:p>
            <w:pPr>
              <w:pStyle w:val="Compact"/>
              <w:jc w:val="left"/>
            </w:pPr>
            <w:r>
              <w:t xml:space="preserve">Scope 2</w:t>
            </w:r>
          </w:p>
        </w:tc>
        <w:tc>
          <w:tcPr/>
          <w:p>
            <w:pPr>
              <w:pStyle w:val="Compact"/>
              <w:jc w:val="left"/>
            </w:pPr>
            <w:r>
              <w:t xml:space="preserve">(1.2 kWh/unit * 0.30 * 0.600 kgCO2e/kWh) + (1.2 kWh/unit * 0.70 * 0.010 kgCO2e/kWh)</w:t>
            </w:r>
          </w:p>
        </w:tc>
        <w:tc>
          <w:tcPr/>
          <w:p>
            <w:pPr>
              <w:pStyle w:val="Compact"/>
              <w:jc w:val="left"/>
            </w:pPr>
            <w:r>
              <w:t xml:space="preserve">0.216 + 0.0084 = 0.224</w:t>
            </w:r>
          </w:p>
        </w:tc>
      </w:tr>
      <w:tr>
        <w:tc>
          <w:tcPr/>
          <w:p>
            <w:pPr>
              <w:pStyle w:val="Compact"/>
              <w:jc w:val="left"/>
            </w:pPr>
            <w:r>
              <w:rPr>
                <w:bCs/>
                <w:b/>
              </w:rPr>
              <w:t xml:space="preserve">Transport (Product to Market)</w:t>
            </w:r>
          </w:p>
        </w:tc>
        <w:tc>
          <w:tcPr/>
          <w:p>
            <w:pPr>
              <w:pStyle w:val="Compact"/>
              <w:jc w:val="left"/>
            </w:pPr>
            <w:r>
              <w:t xml:space="preserve">Scope 3 (Downstream)</w:t>
            </w:r>
          </w:p>
        </w:tc>
        <w:tc>
          <w:tcPr/>
          <w:p>
            <w:pPr>
              <w:numPr>
                <w:ilvl w:val="0"/>
                <w:numId w:val="1006"/>
              </w:numPr>
              <w:pStyle w:val="Compact"/>
              <w:jc w:val="left"/>
            </w:pPr>
            <w:r>
              <w:t xml:space="preserve">Ocean Freight: 12000 km * 0.00063 tonnes * 0.010 kgCO2e/tonne-km</w:t>
            </w:r>
          </w:p>
          <w:p>
            <w:pPr>
              <w:numPr>
                <w:ilvl w:val="0"/>
                <w:numId w:val="1006"/>
              </w:numPr>
              <w:pStyle w:val="Compact"/>
              <w:jc w:val="left"/>
            </w:pPr>
            <w:r>
              <w:t xml:space="preserve">Road Freight (Regional): 500 km * 0.00063 tonnes * 0.080 kgCO2e/tonne-km</w:t>
            </w:r>
          </w:p>
          <w:p>
            <w:pPr>
              <w:numPr>
                <w:ilvl w:val="0"/>
                <w:numId w:val="1006"/>
              </w:numPr>
              <w:pStyle w:val="Compact"/>
              <w:jc w:val="left"/>
            </w:pPr>
            <w:r>
              <w:t xml:space="preserve">Parcel Delivery (Local): 50 km * 0.00063 tonnes * 0.080 kgCO2e/tonne-km (estimated last-mile)</w:t>
            </w:r>
          </w:p>
        </w:tc>
        <w:tc>
          <w:tcPr/>
          <w:p>
            <w:pPr>
              <w:pStyle w:val="Compact"/>
              <w:jc w:val="left"/>
            </w:pPr>
            <w:r>
              <w:t xml:space="preserve">0.076 + 0.025 + 0.0025 = 0.104</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3 years * 5 kWh/year * 0.600 kgCO2e/kWh</w:t>
            </w:r>
          </w:p>
        </w:tc>
        <w:tc>
          <w:tcPr/>
          <w:p>
            <w:pPr>
              <w:pStyle w:val="Compact"/>
              <w:jc w:val="left"/>
            </w:pPr>
            <w:r>
              <w:t xml:space="preserve">9.000</w:t>
            </w:r>
          </w:p>
        </w:tc>
      </w:tr>
      <w:tr>
        <w:tc>
          <w:tcPr/>
          <w:p>
            <w:pPr>
              <w:pStyle w:val="Compact"/>
              <w:jc w:val="left"/>
            </w:pPr>
            <w:r>
              <w:rPr>
                <w:bCs/>
                <w:b/>
              </w:rPr>
              <w:t xml:space="preserve">End-of-Life</w:t>
            </w:r>
          </w:p>
        </w:tc>
        <w:tc>
          <w:tcPr/>
          <w:p>
            <w:pPr>
              <w:pStyle w:val="Compact"/>
              <w:jc w:val="left"/>
            </w:pPr>
            <w:r>
              <w:t xml:space="preserve">Scope 3 (Downstream)</w:t>
            </w:r>
          </w:p>
        </w:tc>
        <w:tc>
          <w:tcPr/>
          <w:p>
            <w:pPr>
              <w:numPr>
                <w:ilvl w:val="0"/>
                <w:numId w:val="1007"/>
              </w:numPr>
              <w:pStyle w:val="Compact"/>
              <w:jc w:val="left"/>
            </w:pPr>
            <w:r>
              <w:t xml:space="preserve">Disposal (25%): 0.63 kg * 0.25 * 1.0 kgCO2e/kg</w:t>
            </w:r>
          </w:p>
          <w:p>
            <w:pPr>
              <w:numPr>
                <w:ilvl w:val="0"/>
                <w:numId w:val="1007"/>
              </w:numPr>
              <w:pStyle w:val="Compact"/>
              <w:jc w:val="left"/>
            </w:pPr>
            <w:r>
              <w:t xml:space="preserve">Recycling Credit (75%): 0.63 kg * 0.75 * (-0.5) kgCO2e/kg (avoided emissions)</w:t>
            </w:r>
          </w:p>
        </w:tc>
        <w:tc>
          <w:tcPr/>
          <w:p>
            <w:pPr>
              <w:pStyle w:val="Compact"/>
              <w:jc w:val="left"/>
            </w:pPr>
            <w:r>
              <w:t xml:space="preserve">0.158 - 0.236 = -0.078 (Net Credit)</w:t>
            </w:r>
          </w:p>
        </w:tc>
      </w:tr>
      <w:tr>
        <w:tc>
          <w:tcPr>
            <w:gridSpan w:val="3"/>
          </w:tcPr>
          <w:p>
            <w:pPr>
              <w:pStyle w:val="Compact"/>
              <w:jc w:val="right"/>
            </w:pPr>
            <w:r>
              <w:rPr>
                <w:bCs/>
                <w:b/>
              </w:rPr>
              <w:t xml:space="preserve">Total Product Carbon Footprint (kgCO2e/unit)</w:t>
            </w:r>
          </w:p>
        </w:tc>
        <w:tc>
          <w:tcPr/>
          <w:p>
            <w:pPr>
              <w:pStyle w:val="Compact"/>
              <w:jc w:val="left"/>
            </w:pPr>
            <w:r>
              <w:rPr>
                <w:bCs/>
                <w:b/>
              </w:rPr>
              <w:t xml:space="preserve">13.205</w:t>
            </w:r>
          </w:p>
        </w:tc>
      </w:tr>
    </w:tbl>
    <w:p>
      <w:pPr>
        <w:pStyle w:val="BodyText"/>
      </w:pPr>
      <w:r>
        <w:rPr>
          <w:iCs/>
          <w:i/>
        </w:rPr>
        <w:t xml:space="preserve">Note: The negative value in End-of-Life indicates an avoided emission (credit) due to high recyclability and circular programs, reducing the overall footprint.</w:t>
      </w:r>
    </w:p>
    <w:bookmarkEnd w:id="31"/>
    <w:bookmarkStart w:id="32" w:name="detailed-scope-categorization"/>
    <w:p>
      <w:pPr>
        <w:pStyle w:val="Heading3"/>
      </w:pPr>
      <w:r>
        <w:t xml:space="preserve">Detailed Scope Categorization</w:t>
      </w:r>
    </w:p>
    <w:p>
      <w:pPr>
        <w:numPr>
          <w:ilvl w:val="0"/>
          <w:numId w:val="1008"/>
        </w:numPr>
        <w:pStyle w:val="Compact"/>
      </w:pPr>
      <w:r>
        <w:rPr>
          <w:bCs/>
          <w:b/>
        </w:rPr>
        <w:t xml:space="preserve">Scope 1 Emissions:</w:t>
      </w:r>
      <w:r>
        <w:t xml:space="preserve"> </w:t>
      </w:r>
      <w:r>
        <w:t xml:space="preserve">Negligible direct emissions for mvqsjuvrhg manufacturing processes assumed, unless specific fuel combustion on-site is identified. For this PCF, assumed to be zero or integrated into supplier Scope 3 upstream data.</w:t>
      </w:r>
    </w:p>
    <w:p>
      <w:pPr>
        <w:numPr>
          <w:ilvl w:val="0"/>
          <w:numId w:val="1008"/>
        </w:numPr>
        <w:pStyle w:val="Compact"/>
      </w:pPr>
      <w:r>
        <w:rPr>
          <w:bCs/>
          <w:b/>
        </w:rPr>
        <w:t xml:space="preserve">Scope 2 Emissions:</w:t>
      </w:r>
      <w:r>
        <w:t xml:space="preserve"> </w:t>
      </w:r>
      <w:r>
        <w:t xml:space="preserve">0.224 kgCO2e/unit (from purchased electricity for manufacturing).</w:t>
      </w:r>
    </w:p>
    <w:p>
      <w:pPr>
        <w:numPr>
          <w:ilvl w:val="0"/>
          <w:numId w:val="1008"/>
        </w:numPr>
        <w:pStyle w:val="Compact"/>
      </w:pPr>
      <w:r>
        <w:rPr>
          <w:bCs/>
          <w:b/>
        </w:rPr>
        <w:t xml:space="preserve">Scope 3 Emissions:</w:t>
      </w:r>
      <w:r>
        <w:t xml:space="preserve"> </w:t>
      </w:r>
      <w:r>
        <w:t xml:space="preserve">12.981 kgCO2e/unit (Materials, Transport, Use Phase, and End-of-Life). This constitutes approximately 98.3% of the total footprint, demonstrating strong compliance with the ≥95% Scope 3 coverage requirement.</w:t>
      </w:r>
    </w:p>
    <w:p>
      <w:r>
        <w:pict>
          <v:rect style="width:0;height:1.5pt" o:hralign="center" o:hrstd="t" o:hr="t"/>
        </w:pict>
      </w:r>
    </w:p>
    <w:bookmarkEnd w:id="32"/>
    <w:bookmarkEnd w:id="33"/>
    <w:bookmarkStart w:id="37" w:name="review-report"/>
    <w:p>
      <w:pPr>
        <w:pStyle w:val="Heading2"/>
      </w:pPr>
      <w:r>
        <w:t xml:space="preserve">5. Review &amp; Report</w:t>
      </w:r>
    </w:p>
    <w:bookmarkStart w:id="34" w:name="product-carbon-footprint-hotspots"/>
    <w:p>
      <w:pPr>
        <w:pStyle w:val="Heading3"/>
      </w:pPr>
      <w:r>
        <w:t xml:space="preserve">Product Carbon Footprint Hotspots</w:t>
      </w:r>
    </w:p>
    <w:p>
      <w:pPr>
        <w:pStyle w:val="FirstParagraph"/>
      </w:pPr>
      <w:r>
        <w:t xml:space="preserve">The analysis reveals the primary emission hotspots for mvqsjuvrhg:</w:t>
      </w:r>
    </w:p>
    <w:p>
      <w:pPr>
        <w:numPr>
          <w:ilvl w:val="0"/>
          <w:numId w:val="1009"/>
        </w:numPr>
        <w:pStyle w:val="Compact"/>
      </w:pPr>
      <w:r>
        <w:rPr>
          <w:bCs/>
          <w:b/>
        </w:rPr>
        <w:t xml:space="preserve">Use Phase (9.000 kgCO2e):</w:t>
      </w:r>
      <w:r>
        <w:t xml:space="preserve"> </w:t>
      </w:r>
      <w:r>
        <w:t xml:space="preserve">This is the most significant contributor, accounting for approximately 68% of the total footprint. The electricity consumption over the product\'s 3-year lifespan dominates the emissions, highlighting opportunities for energy efficiency improvements and promoting renewable energy usage by end-users.</w:t>
      </w:r>
    </w:p>
    <w:p>
      <w:pPr>
        <w:numPr>
          <w:ilvl w:val="0"/>
          <w:numId w:val="1009"/>
        </w:numPr>
        <w:pStyle w:val="Compact"/>
      </w:pPr>
      <w:r>
        <w:rPr>
          <w:bCs/>
          <w:b/>
        </w:rPr>
        <w:t xml:space="preserve">Materials Acquisition &amp; Production (3.955 kgCO2e):</w:t>
      </w:r>
      <w:r>
        <w:t xml:space="preserve"> </w:t>
      </w:r>
      <w:r>
        <w:t xml:space="preserve">Constituting about 30% of the total, the raw materials, particularly the Aluminum Frame, Lithium-ion Battery, and Circuit Board Assembly, contribute substantially. This indicates a need for exploring lower-carbon material alternatives and engaging with suppliers on their decarbonization efforts.</w:t>
      </w:r>
    </w:p>
    <w:p>
      <w:pPr>
        <w:numPr>
          <w:ilvl w:val="0"/>
          <w:numId w:val="1009"/>
        </w:numPr>
        <w:pStyle w:val="Compact"/>
      </w:pPr>
      <w:r>
        <w:rPr>
          <w:bCs/>
          <w:b/>
        </w:rPr>
        <w:t xml:space="preserve">Manufacturing (0.224 kgCO2e):</w:t>
      </w:r>
      <w:r>
        <w:t xml:space="preserve"> </w:t>
      </w:r>
      <w:r>
        <w:t xml:space="preserve">While critical, the manufacturing energy footprint is relatively small (approx. 1.7%) due to the high (70%) renewable energy usage at the production facility. Further increasing renewable energy penetration could drive this down even further.</w:t>
      </w:r>
    </w:p>
    <w:p>
      <w:pPr>
        <w:numPr>
          <w:ilvl w:val="0"/>
          <w:numId w:val="1009"/>
        </w:numPr>
        <w:pStyle w:val="Compact"/>
      </w:pPr>
      <w:r>
        <w:rPr>
          <w:bCs/>
          <w:b/>
        </w:rPr>
        <w:t xml:space="preserve">Transport (0.104 kgCO2e):</w:t>
      </w:r>
      <w:r>
        <w:t xml:space="preserve"> </w:t>
      </w:r>
      <w:r>
        <w:t xml:space="preserve">Transport emissions are relatively minor (approx. 0.8%), though optimizing logistics and exploring alternative, lower-emission freight options could yield further reductions.</w:t>
      </w:r>
    </w:p>
    <w:p>
      <w:pPr>
        <w:numPr>
          <w:ilvl w:val="0"/>
          <w:numId w:val="1009"/>
        </w:numPr>
        <w:pStyle w:val="Compact"/>
      </w:pPr>
      <w:r>
        <w:rPr>
          <w:bCs/>
          <w:b/>
        </w:rPr>
        <w:t xml:space="preserve">End-of-Life (-0.078 kgCO2e):</w:t>
      </w:r>
      <w:r>
        <w:t xml:space="preserve"> </w:t>
      </w:r>
      <w:r>
        <w:t xml:space="preserve">The robust recyclability (75%) and circular take-back programs result in a net credit, showcasing the positive impact of circular economy initiatives on the product\'s overall footprint.</w:t>
      </w:r>
    </w:p>
    <w:bookmarkEnd w:id="34"/>
    <w:bookmarkStart w:id="35" w:name="reliability-statement"/>
    <w:p>
      <w:pPr>
        <w:pStyle w:val="Heading3"/>
      </w:pPr>
      <w:r>
        <w:t xml:space="preserve">Reliability Statement</w:t>
      </w:r>
    </w:p>
    <w:p>
      <w:pPr>
        <w:pStyle w:val="FirstParagraph"/>
      </w:pPr>
      <w:r>
        <w:t xml:space="preserve">The reliability of this PCF report is high, given the use of specific primary data for BOM (dvysdyiq), energy (gvhmystiwe, vtrodfpjqg), transport (Select Mode, zhdwqptujp, Delivery Type), use phase (mdrlxusfvz, jlznxpyfil), and end-of-life scenarios (nsudsojnhp, uuetidwlju). Industry-standard emission factors from reputable databases (e.g., Ecoinvent/DEFRA principles) were utilized for processes where specific factors were not provided. The application of the GHG Protocol and the 2026 LSR Update, along with the detailed Scope 3 coverage, ensures a comprehensive and credible assessment. Uncertainties primarily stem from generic emission factors used for certain background processes and assumptions regarding end-user electricity mixes.</w:t>
      </w:r>
    </w:p>
    <w:bookmarkEnd w:id="35"/>
    <w:bookmarkStart w:id="36" w:name="recommendations-for-tsjzooedmk"/>
    <w:p>
      <w:pPr>
        <w:pStyle w:val="Heading3"/>
      </w:pPr>
      <w:r>
        <w:t xml:space="preserve">Recommendations for tsjzooedmk</w:t>
      </w:r>
    </w:p>
    <w:p>
      <w:pPr>
        <w:numPr>
          <w:ilvl w:val="0"/>
          <w:numId w:val="1010"/>
        </w:numPr>
        <w:pStyle w:val="Compact"/>
      </w:pPr>
      <w:r>
        <w:rPr>
          <w:bCs/>
          <w:b/>
        </w:rPr>
        <w:t xml:space="preserve">Prioritize Use Phase Decarbonization:</w:t>
      </w:r>
      <w:r>
        <w:t xml:space="preserve"> </w:t>
      </w:r>
      <w:r>
        <w:t xml:space="preserve">Focus on designing mvqsjuvrhg for greater energy efficiency and longer lifespan to reduce lifetime energy consumption. Explore solutions that encourage end-users to power the product with renewable energy.</w:t>
      </w:r>
    </w:p>
    <w:p>
      <w:pPr>
        <w:numPr>
          <w:ilvl w:val="0"/>
          <w:numId w:val="1010"/>
        </w:numPr>
        <w:pStyle w:val="Compact"/>
      </w:pPr>
      <w:r>
        <w:rPr>
          <w:bCs/>
          <w:b/>
        </w:rPr>
        <w:t xml:space="preserve">Supply Chain Engagement:</w:t>
      </w:r>
      <w:r>
        <w:t xml:space="preserve"> </w:t>
      </w:r>
      <w:r>
        <w:t xml:space="preserve">Collaborate with suppliers of high-impact components (e.g., Aluminum, Batteries, Circuit Boards) to investigate lower-carbon material sourcing, material efficiency, and their own manufacturing decarbonization pathways.</w:t>
      </w:r>
    </w:p>
    <w:p>
      <w:pPr>
        <w:numPr>
          <w:ilvl w:val="0"/>
          <w:numId w:val="1010"/>
        </w:numPr>
        <w:pStyle w:val="Compact"/>
      </w:pPr>
      <w:r>
        <w:rPr>
          <w:bCs/>
          <w:b/>
        </w:rPr>
        <w:t xml:space="preserve">Circular Economy Advancement:</w:t>
      </w:r>
      <w:r>
        <w:t xml:space="preserve"> </w:t>
      </w:r>
      <w:r>
        <w:t xml:space="preserve">Continue to strengthen and expand take-back and recycling programs (uuetidwlju) to further increase recyclability beyond nsudsojnhp (75%) and maximize material recovery, potentially leading to greater avoided emissions.</w:t>
      </w:r>
    </w:p>
    <w:p>
      <w:pPr>
        <w:numPr>
          <w:ilvl w:val="0"/>
          <w:numId w:val="1010"/>
        </w:numPr>
        <w:pStyle w:val="Compact"/>
      </w:pPr>
      <w:r>
        <w:rPr>
          <w:bCs/>
          <w:b/>
        </w:rPr>
        <w:t xml:space="preserve">Manufacturing Optimization:</w:t>
      </w:r>
      <w:r>
        <w:t xml:space="preserve"> </w:t>
      </w:r>
      <w:r>
        <w:t xml:space="preserve">Explore opportunities to reach 100% renewable energy usage at manufacturing facilities to eliminate remaining Scope 2 emissions.</w:t>
      </w:r>
    </w:p>
    <w:p>
      <w:r>
        <w:pict>
          <v:rect style="width:0;height:1.5pt" o:hralign="center" o:hrstd="t" o:hr="t"/>
        </w:pict>
      </w:r>
    </w:p>
    <w:p>
      <w:pPr>
        <w:pStyle w:val="FirstParagraph"/>
      </w:pPr>
      <w:r>
        <w:t xml:space="preserve">Confidential - Internal Use Only</w:t>
      </w:r>
    </w:p>
    <w:p>
      <w:pPr>
        <w:pStyle w:val="BodyText"/>
      </w:pPr>
      <w:r>
        <w:t xml:space="preserve">1. https://www.epa.gov/system/files/documents/2023-01/emission-factors_nov2022.pdf</w:t>
      </w:r>
      <w:r>
        <w:t xml:space="preserve"> </w:t>
      </w:r>
      <w:r>
        <w:t xml:space="preserve">2. https://www.carbonfootprint.com/docs/2023_01_emission_factors_sources_for_cf_calculations.pdf</w:t>
      </w:r>
      <w:r>
        <w:t xml:space="preserve"> </w:t>
      </w:r>
      <w:r>
        <w:t xml:space="preserve">3. https://www.epa.gov/system/files/documents/2023-01/emission-factors_nov2022.pdf</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mvqsjuvrhg - tsjzooedmk</dc:title>
  <dc:creator/>
  <dc:description>High-detail Product Carbon Footprint (PCF) analysis report for product mvqsjuvrhg by tsjzooedmk, following GHG Protocol and 2026 LSR update.</dc:description>
  <dc:language>en</dc:language>
  <cp:keywords/>
  <dcterms:created xsi:type="dcterms:W3CDTF">2026-07-15T05:48:26Z</dcterms:created>
  <dcterms:modified xsi:type="dcterms:W3CDTF">2026-07-15T05:48:26Z</dcterms:modified>
</cp:coreProperties>
</file>

<file path=docProps/custom.xml><?xml version="1.0" encoding="utf-8"?>
<Properties xmlns="http://schemas.openxmlformats.org/officeDocument/2006/custom-properties" xmlns:vt="http://schemas.openxmlformats.org/officeDocument/2006/docPropsVTypes"/>
</file>