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mszrdyyoni</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mszrdyyoni</w:t>
      </w:r>
    </w:p>
    <w:p>
      <w:pPr>
        <w:pStyle w:val="BodyText"/>
      </w:pPr>
      <w:r>
        <w:rPr>
          <w:bCs/>
          <w:b/>
        </w:rPr>
        <w:t xml:space="preserve">For Company:</w:t>
      </w:r>
      <w:r>
        <w:t xml:space="preserve"> </w:t>
      </w:r>
      <w:r>
        <w:t xml:space="preserve">xextetjknk</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zgzjxvywxk</w:t>
      </w:r>
    </w:p>
    <w:p>
      <w:pPr>
        <w:pStyle w:val="BodyText"/>
      </w:pPr>
      <w:r>
        <w:rPr>
          <w:iCs/>
          <w:i/>
        </w:rPr>
        <w:t xml:space="preserve">This report is generated based on available data and industry standards. While every effort has been made to ensure accuracy, specific values may vary based on real-world operational details not fully captured in the provided parameters.</w:t>
      </w:r>
    </w:p>
    <w:bookmarkEnd w:id="20"/>
    <w:bookmarkStart w:id="21" w:name="X03e5af42646578fd156ef7e664ccbb40921727a"/>
    <w:p>
      <w:pPr>
        <w:pStyle w:val="Heading1"/>
      </w:pPr>
      <w:r>
        <w:t xml:space="preserve">Product Carbon Footprint Report - mszrdyyoni</w:t>
      </w:r>
    </w:p>
    <w:p>
      <w:pPr>
        <w:pStyle w:val="FirstParagraph"/>
      </w:pPr>
      <w:r>
        <w:t xml:space="preserve">Generated Date: May 26, 2026</w:t>
      </w:r>
    </w:p>
    <w:bookmarkEnd w:id="21"/>
    <w:bookmarkStart w:id="45"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mszrdyyoni</w:t>
      </w:r>
      <w:r>
        <w:t xml:space="preserve"> </w:t>
      </w:r>
      <w:r>
        <w:t xml:space="preserve">manufactured by</w:t>
      </w:r>
      <w:r>
        <w:t xml:space="preserve"> </w:t>
      </w:r>
      <w:r>
        <w:rPr>
          <w:bCs/>
          <w:b/>
        </w:rPr>
        <w:t xml:space="preserve">xextetjknk</w:t>
      </w:r>
      <w:r>
        <w:t xml:space="preserve">. The analysis was conducted by Senior Sustainability Consultant</w:t>
      </w:r>
      <w:r>
        <w:t xml:space="preserve"> </w:t>
      </w:r>
      <w:r>
        <w:rPr>
          <w:bCs/>
          <w:b/>
        </w:rPr>
        <w:t xml:space="preserve">zgzjxvywxk</w:t>
      </w:r>
      <w:r>
        <w:t xml:space="preserve">, adhering strictly to the GHG Protocol accounting standard, with consideration for the 2026 Land Sector and Removals (LSR) Standard update and aiming for at least 95% Scope 3 coverage. The PCF quantifies the total greenhouse gas emissions associated with the product\'s entire lifecycle, from material acquisition to end-of-life. The total cradle-to-grave PCF for one functional unit of mszrdyyoni is calculated to be approximately</w:t>
      </w:r>
      <w:r>
        <w:t xml:space="preserve"> </w:t>
      </w:r>
      <w:r>
        <w:rPr>
          <w:bCs/>
          <w:b/>
        </w:rPr>
        <w:t xml:space="preserve">35.23 kg CO2e</w:t>
      </w:r>
      <w:r>
        <w:t xml:space="preserve">. Key emission hotspots are identified in the use phase and material acquisition, while significant carbon credits are realized from end-of-life recycling.</w:t>
      </w:r>
    </w:p>
    <w:p>
      <w:r>
        <w:pict>
          <v:rect style="width:0;height:1.5pt" o:hralign="center" o:hrstd="t" o:hr="t"/>
        </w:pict>
      </w:r>
    </w:p>
    <w:bookmarkStart w:id="22" w:name="methodology"/>
    <w:p>
      <w:pPr>
        <w:pStyle w:val="Heading2"/>
      </w:pPr>
      <w:r>
        <w:t xml:space="preserve">1. Methodology</w:t>
      </w:r>
    </w:p>
    <w:p>
      <w:pPr>
        <w:pStyle w:val="FirstParagraph"/>
      </w:pPr>
      <w:r>
        <w:t xml:space="preserve">The Product Carbon Footprint analysis for mszrdyyoni follows a five-step methodology in accordance with industry best practices and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all relevant lifecycle stages and associated processes.</w:t>
      </w:r>
    </w:p>
    <w:p>
      <w:pPr>
        <w:numPr>
          <w:ilvl w:val="0"/>
          <w:numId w:val="1001"/>
        </w:numPr>
        <w:pStyle w:val="Compact"/>
      </w:pPr>
      <w:r>
        <w:rPr>
          <w:bCs/>
          <w:b/>
        </w:rPr>
        <w:t xml:space="preserve">Collect Data:</w:t>
      </w:r>
      <w:r>
        <w:t xml:space="preserve"> </w:t>
      </w:r>
      <w:r>
        <w:t xml:space="preserve">Gather primary and secondary data points for material inputs, energy consumption, and transportation.</w:t>
      </w:r>
    </w:p>
    <w:p>
      <w:pPr>
        <w:numPr>
          <w:ilvl w:val="0"/>
          <w:numId w:val="1001"/>
        </w:numPr>
        <w:pStyle w:val="Compact"/>
      </w:pPr>
      <w:r>
        <w:rPr>
          <w:bCs/>
          <w:b/>
        </w:rPr>
        <w:t xml:space="preserve">Calculate Emissions:</w:t>
      </w:r>
      <w:r>
        <w:t xml:space="preserve"> </w:t>
      </w:r>
      <w:r>
        <w:t xml:space="preserve">Quantify greenhouse gas emissions (CO2e) for each stage using activity data multiplied by appropriate emission factors, categorizing them into Scope 1, 2, and 3.</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p>
      <w:pPr>
        <w:pStyle w:val="FirstParagraph"/>
      </w:pPr>
      <w:r>
        <w:t xml:space="preserve">The accounting standard used for this report is the</w:t>
      </w:r>
      <w:r>
        <w:t xml:space="preserve"> </w:t>
      </w:r>
      <w:r>
        <w:rPr>
          <w:bCs/>
          <w:b/>
        </w:rPr>
        <w:t xml:space="preserve">GHG Protocol</w:t>
      </w:r>
      <w:r>
        <w:t xml:space="preserve">, ensuring comprehensive and consistent reporting of greenhouse gas emissions across the product\'s value chain. The analysis incorporates the principles of the 2026 Land Sector and Removals (LSR) Standard for land use and carbon removals where relevant, and ensures robust Scope 3 reporting.</w:t>
      </w:r>
    </w:p>
    <w:p>
      <w:r>
        <w:pict>
          <v:rect style="width:0;height:1.5pt" o:hralign="center" o:hrstd="t" o:hr="t"/>
        </w:pict>
      </w:r>
    </w:p>
    <w:bookmarkEnd w:id="22"/>
    <w:bookmarkStart w:id="23" w:name="defined-scope"/>
    <w:p>
      <w:pPr>
        <w:pStyle w:val="Heading2"/>
      </w:pPr>
      <w:r>
        <w:t xml:space="preserve">2. Defined Scope</w:t>
      </w:r>
    </w:p>
    <w:p>
      <w:pPr>
        <w:pStyle w:val="FirstParagraph"/>
      </w:pPr>
      <w:r>
        <w:t xml:space="preserve">This section outlines the foundational parameters for the Product Carbon Footprint calculation of mszrdyyoni.</w:t>
      </w:r>
    </w:p>
    <w:p>
      <w:pPr>
        <w:numPr>
          <w:ilvl w:val="0"/>
          <w:numId w:val="1002"/>
        </w:numPr>
        <w:pStyle w:val="Compact"/>
      </w:pPr>
      <w:r>
        <w:rPr>
          <w:bCs/>
          <w:b/>
        </w:rPr>
        <w:t xml:space="preserve">Functional Unit:</w:t>
      </w:r>
      <w:r>
        <w:t xml:space="preserve"> </w:t>
      </w:r>
      <w:r>
        <w:t xml:space="preserve">1.0 unit of mszrdyyoni.</w:t>
      </w:r>
    </w:p>
    <w:p>
      <w:pPr>
        <w:numPr>
          <w:ilvl w:val="0"/>
          <w:numId w:val="1002"/>
        </w:numPr>
        <w:pStyle w:val="Compact"/>
      </w:pPr>
      <w:r>
        <w:rPr>
          <w:bCs/>
          <w:b/>
        </w:rPr>
        <w:t xml:space="preserve">System Boundary:</w:t>
      </w:r>
      <w:r>
        <w:t xml:space="preserve"> </w:t>
      </w:r>
      <w:r>
        <w:t xml:space="preserve">Cradle-to-grave, encompassing all stages from raw material extraction to end-of-life treatment. While the primary production focus is \'factory_gate\', the analysis extends to cover the entire product lifecycle as per the provided parameters.</w:t>
      </w:r>
    </w:p>
    <w:p>
      <w:pPr>
        <w:numPr>
          <w:ilvl w:val="0"/>
          <w:numId w:val="1002"/>
        </w:numPr>
        <w:pStyle w:val="Compact"/>
      </w:pPr>
      <w:r>
        <w:rPr>
          <w:bCs/>
          <w:b/>
        </w:rPr>
        <w:t xml:space="preserve">Geographic Scope:</w:t>
      </w:r>
      <w:r>
        <w:t xml:space="preserve"> </w:t>
      </w:r>
      <w:r>
        <w:t xml:space="preserve">Final Production Country: China; Supply Chain Focus: Europe Focused (for raw materials/components).</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Company Name:</w:t>
      </w:r>
      <w:r>
        <w:t xml:space="preserve"> </w:t>
      </w:r>
      <w:r>
        <w:t xml:space="preserve">xextetjknk.</w:t>
      </w:r>
    </w:p>
    <w:p>
      <w:pPr>
        <w:numPr>
          <w:ilvl w:val="0"/>
          <w:numId w:val="1002"/>
        </w:numPr>
        <w:pStyle w:val="Compact"/>
      </w:pPr>
      <w:r>
        <w:rPr>
          <w:bCs/>
          <w:b/>
        </w:rPr>
        <w:t xml:space="preserve">Senior Sustainability Consultant:</w:t>
      </w:r>
      <w:r>
        <w:t xml:space="preserve"> </w:t>
      </w:r>
      <w:r>
        <w:t xml:space="preserve">zgzjxvywxk.</w:t>
      </w:r>
    </w:p>
    <w:p>
      <w:pPr>
        <w:numPr>
          <w:ilvl w:val="0"/>
          <w:numId w:val="1002"/>
        </w:numPr>
        <w:pStyle w:val="Compact"/>
      </w:pPr>
      <w:r>
        <w:rPr>
          <w:bCs/>
          <w:b/>
        </w:rPr>
        <w:t xml:space="preserve">Allocation:</w:t>
      </w:r>
      <w:r>
        <w:t xml:space="preserve"> </w:t>
      </w:r>
      <w:r>
        <w:t xml:space="preserve">All emissions are directly allocated to the functional unit as it is a single product PCF. For shared transport and end-of-life processes, allocation is based on mass where appropriate.</w:t>
      </w:r>
    </w:p>
    <w:p>
      <w:r>
        <w:pict>
          <v:rect style="width:0;height:1.5pt" o:hralign="center" o:hrstd="t" o:hr="t"/>
        </w:pict>
      </w:r>
    </w:p>
    <w:bookmarkEnd w:id="23"/>
    <w:bookmarkStart w:id="29" w:name="lifecycle-mapping-and-data-collection"/>
    <w:p>
      <w:pPr>
        <w:pStyle w:val="Heading2"/>
      </w:pPr>
      <w:r>
        <w:t xml:space="preserve">3. Lifecycle Mapping and Data Collection</w:t>
      </w:r>
    </w:p>
    <w:p>
      <w:pPr>
        <w:pStyle w:val="FirstParagraph"/>
      </w:pPr>
      <w:r>
        <w:t xml:space="preserve">The lifecycle of mszrdyyoni is mapped across five key stages: Material Acquisition &amp; Pre-processing, Manufacturing, Transportation, Use Phase, and End-of-Life. Data was collected from provided parameters and supplemented with industry-standard emission factors.</w:t>
      </w:r>
    </w:p>
    <w:bookmarkStart w:id="24" w:name="X2c3aee55fec70cd08e331223eb37c3b7b5cbb38"/>
    <w:p>
      <w:pPr>
        <w:pStyle w:val="Heading3"/>
      </w:pPr>
      <w:r>
        <w:t xml:space="preserve">3.1. Detailed Bill of Materials (BOM) - zrhjdukg (Scope 3, Category 1: Purchased Goods and Services)</w:t>
      </w:r>
    </w:p>
    <w:p>
      <w:pPr>
        <w:pStyle w:val="FirstParagraph"/>
      </w:pPr>
      <w:r>
        <w:t xml:space="preserve">The following detailed Bill of Materials was provided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Aluminum Housing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M2</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r>
        <w:tc>
          <w:tcPr>
            <w:gridSpan w:val="7"/>
          </w:tcPr>
          <w:p>
            <w:pPr>
              <w:pStyle w:val="Compact"/>
              <w:jc w:val="left"/>
            </w:pPr>
            <w:r>
              <w:rPr>
                <w:bCs/>
                <w:b/>
              </w:rPr>
              <w:t xml:space="preserve">Total Material Carbon Impact:</w:t>
            </w:r>
          </w:p>
        </w:tc>
        <w:tc>
          <w:tcPr/>
          <w:p>
            <w:pPr>
              <w:pStyle w:val="Compact"/>
              <w:jc w:val="left"/>
            </w:pPr>
            <w:r>
              <w:rPr>
                <w:bCs/>
                <w:b/>
              </w:rPr>
              <w:t xml:space="preserve">6.79</w:t>
            </w:r>
          </w:p>
        </w:tc>
      </w:tr>
    </w:tbl>
    <w:bookmarkEnd w:id="24"/>
    <w:bookmarkStart w:id="25" w:name="X05106365508ba976fbc7fdeb2047e92a48b2717"/>
    <w:p>
      <w:pPr>
        <w:pStyle w:val="Heading3"/>
      </w:pPr>
      <w:r>
        <w:t xml:space="preserve">3.2. Energy Inputs for Manufacturing (Scope 2: Purchased Electricity)</w:t>
      </w:r>
    </w:p>
    <w:p>
      <w:pPr>
        <w:numPr>
          <w:ilvl w:val="0"/>
          <w:numId w:val="1003"/>
        </w:numPr>
        <w:pStyle w:val="Compact"/>
      </w:pPr>
      <w:r>
        <w:rPr>
          <w:bCs/>
          <w:b/>
        </w:rPr>
        <w:t xml:space="preserve">Energy Intensity (urewykzijp):</w:t>
      </w:r>
      <w:r>
        <w:t xml:space="preserve"> </w:t>
      </w:r>
      <w:r>
        <w:t xml:space="preserve">5.0 kWh/unit</w:t>
      </w:r>
    </w:p>
    <w:p>
      <w:pPr>
        <w:numPr>
          <w:ilvl w:val="0"/>
          <w:numId w:val="1003"/>
        </w:numPr>
        <w:pStyle w:val="Compact"/>
      </w:pPr>
      <w:r>
        <w:rPr>
          <w:bCs/>
          <w:b/>
        </w:rPr>
        <w:t xml:space="preserve">Renewable Energy Usage (zseutijzeq):</w:t>
      </w:r>
      <w:r>
        <w:t xml:space="preserve"> </w:t>
      </w:r>
      <w:r>
        <w:t xml:space="preserve">30%</w:t>
      </w:r>
    </w:p>
    <w:p>
      <w:pPr>
        <w:numPr>
          <w:ilvl w:val="0"/>
          <w:numId w:val="1003"/>
        </w:numPr>
        <w:pStyle w:val="Compact"/>
      </w:pPr>
      <w:r>
        <w:rPr>
          <w:bCs/>
          <w:b/>
        </w:rPr>
        <w:t xml:space="preserve">Electricity Grid Emission Factor (China):</w:t>
      </w:r>
      <w:r>
        <w:t xml:space="preserve"> </w:t>
      </w:r>
      <w:r>
        <w:t xml:space="preserve">0.6144 kg CO2e/kWh (for 2025)</w:t>
      </w:r>
    </w:p>
    <w:bookmarkEnd w:id="25"/>
    <w:bookmarkStart w:id="26" w:name="logistics-data-scope-3-transportation"/>
    <w:p>
      <w:pPr>
        <w:pStyle w:val="Heading3"/>
      </w:pPr>
      <w:r>
        <w:t xml:space="preserve">3.3. Logistics Data (Scope 3: Transportation)</w:t>
      </w:r>
    </w:p>
    <w:p>
      <w:pPr>
        <w:numPr>
          <w:ilvl w:val="0"/>
          <w:numId w:val="1004"/>
        </w:numPr>
        <w:pStyle w:val="Compact"/>
      </w:pPr>
      <w:r>
        <w:rPr>
          <w:bCs/>
          <w:b/>
        </w:rPr>
        <w:t xml:space="preserve">Upstream Transport (Components from Europe to China factory):</w:t>
      </w:r>
    </w:p>
    <w:p>
      <w:pPr>
        <w:numPr>
          <w:ilvl w:val="1"/>
          <w:numId w:val="1005"/>
        </w:numPr>
        <w:pStyle w:val="Compact"/>
      </w:pPr>
      <w:r>
        <w:rPr>
          <w:bCs/>
          <w:b/>
        </w:rPr>
        <w:t xml:space="preserve">Mode:</w:t>
      </w:r>
      <w:r>
        <w:t xml:space="preserve"> </w:t>
      </w:r>
      <w:r>
        <w:t xml:space="preserve">Ocean Freight</w:t>
      </w:r>
    </w:p>
    <w:p>
      <w:pPr>
        <w:numPr>
          <w:ilvl w:val="1"/>
          <w:numId w:val="1005"/>
        </w:numPr>
        <w:pStyle w:val="Compact"/>
      </w:pPr>
      <w:r>
        <w:rPr>
          <w:bCs/>
          <w:b/>
        </w:rPr>
        <w:t xml:space="preserve">Distance (ivtxgkuhdj):</w:t>
      </w:r>
      <w:r>
        <w:t xml:space="preserve"> </w:t>
      </w:r>
      <w:r>
        <w:t xml:space="preserve">15,000 km</w:t>
      </w:r>
    </w:p>
    <w:p>
      <w:pPr>
        <w:numPr>
          <w:ilvl w:val="1"/>
          <w:numId w:val="1005"/>
        </w:numPr>
        <w:pStyle w:val="Compact"/>
      </w:pPr>
      <w:r>
        <w:rPr>
          <w:bCs/>
          <w:b/>
        </w:rPr>
        <w:t xml:space="preserve">Estimated Component Weight:</w:t>
      </w:r>
      <w:r>
        <w:t xml:space="preserve"> </w:t>
      </w:r>
      <w:r>
        <w:t xml:space="preserve">1.0 kg</w:t>
      </w:r>
    </w:p>
    <w:p>
      <w:pPr>
        <w:numPr>
          <w:ilvl w:val="1"/>
          <w:numId w:val="1005"/>
        </w:numPr>
        <w:pStyle w:val="Compact"/>
      </w:pPr>
      <w:r>
        <w:rPr>
          <w:bCs/>
          <w:b/>
        </w:rPr>
        <w:t xml:space="preserve">Ocean Freight Emission Factor:</w:t>
      </w:r>
      <w:r>
        <w:t xml:space="preserve"> </w:t>
      </w:r>
      <w:r>
        <w:t xml:space="preserve">0.016 kg CO2e/tonne-km (container ship, DEFRA/DESNZ 2025)</w:t>
      </w:r>
    </w:p>
    <w:p>
      <w:pPr>
        <w:numPr>
          <w:ilvl w:val="1"/>
          <w:numId w:val="1006"/>
        </w:numPr>
        <w:pStyle w:val="Compact"/>
      </w:pPr>
      <w:r>
        <w:rPr>
          <w:bCs/>
          <w:b/>
        </w:rPr>
        <w:t xml:space="preserve">Mode:</w:t>
      </w:r>
      <w:r>
        <w:t xml:space="preserve"> </w:t>
      </w:r>
      <w:r>
        <w:t xml:space="preserve">Road Freight (within China to factory)</w:t>
      </w:r>
    </w:p>
    <w:p>
      <w:pPr>
        <w:numPr>
          <w:ilvl w:val="1"/>
          <w:numId w:val="1006"/>
        </w:numPr>
        <w:pStyle w:val="Compact"/>
      </w:pPr>
      <w:r>
        <w:rPr>
          <w:bCs/>
          <w:b/>
        </w:rPr>
        <w:t xml:space="preserve">Distance (ivtxgkuhdj):</w:t>
      </w:r>
      <w:r>
        <w:t xml:space="preserve"> </w:t>
      </w:r>
      <w:r>
        <w:t xml:space="preserve">500 km</w:t>
      </w:r>
    </w:p>
    <w:p>
      <w:pPr>
        <w:numPr>
          <w:ilvl w:val="1"/>
          <w:numId w:val="1006"/>
        </w:numPr>
        <w:pStyle w:val="Compact"/>
      </w:pPr>
      <w:r>
        <w:rPr>
          <w:bCs/>
          <w:b/>
        </w:rPr>
        <w:t xml:space="preserve">Estimated Component Weight:</w:t>
      </w:r>
      <w:r>
        <w:t xml:space="preserve"> </w:t>
      </w:r>
      <w:r>
        <w:t xml:space="preserve">1.0 kg</w:t>
      </w:r>
    </w:p>
    <w:p>
      <w:pPr>
        <w:numPr>
          <w:ilvl w:val="1"/>
          <w:numId w:val="1006"/>
        </w:numPr>
        <w:pStyle w:val="Compact"/>
      </w:pPr>
      <w:r>
        <w:rPr>
          <w:bCs/>
          <w:b/>
        </w:rPr>
        <w:t xml:space="preserve">Road Freight Emission Factor:</w:t>
      </w:r>
      <w:r>
        <w:t xml:space="preserve"> </w:t>
      </w:r>
      <w:r>
        <w:t xml:space="preserve">0.062 kg CO2e/tonne-km (diesel truck)</w:t>
      </w:r>
    </w:p>
    <w:p>
      <w:pPr>
        <w:numPr>
          <w:ilvl w:val="0"/>
          <w:numId w:val="1004"/>
        </w:numPr>
        <w:pStyle w:val="Compact"/>
      </w:pPr>
      <w:r>
        <w:rPr>
          <w:bCs/>
          <w:b/>
        </w:rPr>
        <w:t xml:space="preserve">Downstream Transport (Last-Mile Delivery of Finished Product):</w:t>
      </w:r>
    </w:p>
    <w:p>
      <w:pPr>
        <w:numPr>
          <w:ilvl w:val="1"/>
          <w:numId w:val="1007"/>
        </w:numPr>
        <w:pStyle w:val="Compact"/>
      </w:pPr>
      <w:r>
        <w:rPr>
          <w:bCs/>
          <w:b/>
        </w:rPr>
        <w:t xml:space="preserve">Delivery Channel (Delivery Type):</w:t>
      </w:r>
      <w:r>
        <w:t xml:space="preserve"> </w:t>
      </w:r>
      <w:r>
        <w:t xml:space="preserve">Van (Diesel)</w:t>
      </w:r>
    </w:p>
    <w:p>
      <w:pPr>
        <w:numPr>
          <w:ilvl w:val="1"/>
          <w:numId w:val="1007"/>
        </w:numPr>
        <w:pStyle w:val="Compact"/>
      </w:pPr>
      <w:r>
        <w:rPr>
          <w:bCs/>
          <w:b/>
        </w:rPr>
        <w:t xml:space="preserve">Distance (ivtxgkuhdj):</w:t>
      </w:r>
      <w:r>
        <w:t xml:space="preserve"> </w:t>
      </w:r>
      <w:r>
        <w:t xml:space="preserve">100 km</w:t>
      </w:r>
    </w:p>
    <w:p>
      <w:pPr>
        <w:numPr>
          <w:ilvl w:val="1"/>
          <w:numId w:val="1007"/>
        </w:numPr>
        <w:pStyle w:val="Compact"/>
      </w:pPr>
      <w:r>
        <w:rPr>
          <w:bCs/>
          <w:b/>
        </w:rPr>
        <w:t xml:space="preserve">Product Weight for Delivery (including packaging):</w:t>
      </w:r>
      <w:r>
        <w:t xml:space="preserve"> </w:t>
      </w:r>
      <w:r>
        <w:t xml:space="preserve">1.1 kg</w:t>
      </w:r>
    </w:p>
    <w:p>
      <w:pPr>
        <w:numPr>
          <w:ilvl w:val="1"/>
          <w:numId w:val="1007"/>
        </w:numPr>
        <w:pStyle w:val="Compact"/>
      </w:pPr>
      <w:r>
        <w:rPr>
          <w:bCs/>
          <w:b/>
        </w:rPr>
        <w:t xml:space="preserve">Diesel Van Emission Factor:</w:t>
      </w:r>
      <w:r>
        <w:t xml:space="preserve"> </w:t>
      </w:r>
      <w:r>
        <w:t xml:space="preserve">0.14189 kg CO2e/km (Class I van, UK BEIS/Defra 2022)</w:t>
      </w:r>
    </w:p>
    <w:p>
      <w:pPr>
        <w:numPr>
          <w:ilvl w:val="1"/>
          <w:numId w:val="1007"/>
        </w:numPr>
        <w:pStyle w:val="Compact"/>
      </w:pPr>
      <w:r>
        <w:rPr>
          <w:bCs/>
          <w:b/>
        </w:rPr>
        <w:t xml:space="preserve">Assumption for Allocation:</w:t>
      </w:r>
      <w:r>
        <w:t xml:space="preserve"> </w:t>
      </w:r>
      <w:r>
        <w:t xml:space="preserve">Emissions are allocated based on the product\'s weight relative to an assumed average payload capacity of 750 kg for a last-mile delivery van.</w:t>
      </w:r>
    </w:p>
    <w:bookmarkEnd w:id="26"/>
    <w:bookmarkStart w:id="27" w:name="X9c47a088dc2010630d22d37d8f68ea322772e33"/>
    <w:p>
      <w:pPr>
        <w:pStyle w:val="Heading3"/>
      </w:pPr>
      <w:r>
        <w:t xml:space="preserve">3.4. Use Phase Data (Scope 3, Category 11: Use of Sold Products)</w:t>
      </w:r>
    </w:p>
    <w:p>
      <w:pPr>
        <w:numPr>
          <w:ilvl w:val="0"/>
          <w:numId w:val="1008"/>
        </w:numPr>
        <w:pStyle w:val="Compact"/>
      </w:pPr>
      <w:r>
        <w:rPr>
          <w:bCs/>
          <w:b/>
        </w:rPr>
        <w:t xml:space="preserve">Product Lifespan (mediofupdk):</w:t>
      </w:r>
      <w:r>
        <w:t xml:space="preserve"> </w:t>
      </w:r>
      <w:r>
        <w:t xml:space="preserve">5 years</w:t>
      </w:r>
    </w:p>
    <w:p>
      <w:pPr>
        <w:numPr>
          <w:ilvl w:val="0"/>
          <w:numId w:val="1008"/>
        </w:numPr>
        <w:pStyle w:val="Compact"/>
      </w:pPr>
      <w:r>
        <w:rPr>
          <w:bCs/>
          <w:b/>
        </w:rPr>
        <w:t xml:space="preserve">Energy Consumption in Use (fdmxrveivm):</w:t>
      </w:r>
      <w:r>
        <w:t xml:space="preserve"> </w:t>
      </w:r>
      <w:r>
        <w:t xml:space="preserve">10 kWh/year</w:t>
      </w:r>
    </w:p>
    <w:p>
      <w:pPr>
        <w:numPr>
          <w:ilvl w:val="0"/>
          <w:numId w:val="1008"/>
        </w:numPr>
        <w:pStyle w:val="Compact"/>
      </w:pPr>
      <w:r>
        <w:rPr>
          <w:bCs/>
          <w:b/>
        </w:rPr>
        <w:t xml:space="preserve">Electricity Grid Emission Factor (China):</w:t>
      </w:r>
      <w:r>
        <w:t xml:space="preserve"> </w:t>
      </w:r>
      <w:r>
        <w:t xml:space="preserve">0.6144 kg CO2e/kWh</w:t>
      </w:r>
    </w:p>
    <w:bookmarkEnd w:id="27"/>
    <w:bookmarkStart w:id="28" w:name="X22f9dae0edae5a4ebf0dcf5b8ca74de2c6ea5a4"/>
    <w:p>
      <w:pPr>
        <w:pStyle w:val="Heading3"/>
      </w:pPr>
      <w:r>
        <w:t xml:space="preserve">3.5. End-of-Life (EoL) Scenarios (Scope 3, Category 12: End-of-Life Treatment of Sold Products)</w:t>
      </w:r>
    </w:p>
    <w:p>
      <w:pPr>
        <w:numPr>
          <w:ilvl w:val="0"/>
          <w:numId w:val="1009"/>
        </w:numPr>
        <w:pStyle w:val="Compact"/>
      </w:pPr>
      <w:r>
        <w:rPr>
          <w:bCs/>
          <w:b/>
        </w:rPr>
        <w:t xml:space="preserve">Recyclability Percentage (ytlufuohoo):</w:t>
      </w:r>
      <w:r>
        <w:t xml:space="preserve"> </w:t>
      </w:r>
      <w:r>
        <w:t xml:space="preserve">60% of materials are recycled.</w:t>
      </w:r>
    </w:p>
    <w:p>
      <w:pPr>
        <w:numPr>
          <w:ilvl w:val="0"/>
          <w:numId w:val="1009"/>
        </w:numPr>
        <w:pStyle w:val="Compact"/>
      </w:pPr>
      <w:r>
        <w:rPr>
          <w:bCs/>
          <w:b/>
        </w:rPr>
        <w:t xml:space="preserve">Circular/Take-back Programs (rhduuxrnnv):</w:t>
      </w:r>
      <w:r>
        <w:t xml:space="preserve"> </w:t>
      </w:r>
      <w:r>
        <w:t xml:space="preserve">Yes, company has a return and refurbish program. For this PCF, the focus is on recycling credits from materials.</w:t>
      </w:r>
    </w:p>
    <w:p>
      <w:pPr>
        <w:numPr>
          <w:ilvl w:val="0"/>
          <w:numId w:val="1009"/>
        </w:numPr>
        <w:pStyle w:val="Compact"/>
      </w:pPr>
      <w:r>
        <w:rPr>
          <w:bCs/>
          <w:b/>
        </w:rPr>
        <w:t xml:space="preserve">Material-Specific Avoided Emissions Factors (due to recycling vs. virgin material production):</w:t>
      </w:r>
    </w:p>
    <w:p>
      <w:pPr>
        <w:numPr>
          <w:ilvl w:val="1"/>
          <w:numId w:val="1010"/>
        </w:numPr>
        <w:pStyle w:val="Compact"/>
      </w:pPr>
      <w:r>
        <w:t xml:space="preserve">Aluminum: -12.9 kg CO2e/kg</w:t>
      </w:r>
    </w:p>
    <w:p>
      <w:pPr>
        <w:numPr>
          <w:ilvl w:val="1"/>
          <w:numId w:val="1010"/>
        </w:numPr>
        <w:pStyle w:val="Compact"/>
      </w:pPr>
      <w:r>
        <w:t xml:space="preserve">Plastic (Mixed): -1.2 kg CO2e/kg</w:t>
      </w:r>
    </w:p>
    <w:p>
      <w:pPr>
        <w:numPr>
          <w:ilvl w:val="1"/>
          <w:numId w:val="1010"/>
        </w:numPr>
        <w:pStyle w:val="Compact"/>
      </w:pPr>
      <w:r>
        <w:t xml:space="preserve">Electronics: -0.79 kg CO2e/kg (for \'Other Electronics\' from EPA WARM)</w:t>
      </w:r>
    </w:p>
    <w:p>
      <w:pPr>
        <w:numPr>
          <w:ilvl w:val="1"/>
          <w:numId w:val="1010"/>
        </w:numPr>
        <w:pStyle w:val="Compact"/>
      </w:pPr>
      <w:r>
        <w:t xml:space="preserve">Cardboard: -5.0 kg CO2e/kg</w:t>
      </w:r>
    </w:p>
    <w:p>
      <w:pPr>
        <w:numPr>
          <w:ilvl w:val="0"/>
          <w:numId w:val="1009"/>
        </w:numPr>
        <w:pStyle w:val="Compact"/>
      </w:pPr>
      <w:r>
        <w:rPr>
          <w:bCs/>
          <w:b/>
        </w:rPr>
        <w:t xml:space="preserve">Material-Specific Disposal Emissions Factors (for the 40% not recycled):</w:t>
      </w:r>
    </w:p>
    <w:p>
      <w:pPr>
        <w:numPr>
          <w:ilvl w:val="1"/>
          <w:numId w:val="1011"/>
        </w:numPr>
        <w:pStyle w:val="Compact"/>
      </w:pPr>
      <w:r>
        <w:t xml:space="preserve">Aluminum: Negligible (assumed inert in landfill)</w:t>
      </w:r>
    </w:p>
    <w:p>
      <w:pPr>
        <w:numPr>
          <w:ilvl w:val="1"/>
          <w:numId w:val="1011"/>
        </w:numPr>
        <w:pStyle w:val="Compact"/>
      </w:pPr>
      <w:r>
        <w:t xml:space="preserve">Plastic: 0.033 kg CO2e/kg (landfill)</w:t>
      </w:r>
    </w:p>
    <w:p>
      <w:pPr>
        <w:numPr>
          <w:ilvl w:val="1"/>
          <w:numId w:val="1011"/>
        </w:numPr>
        <w:pStyle w:val="Compact"/>
      </w:pPr>
      <w:r>
        <w:t xml:space="preserve">Electronics: 0.05 kg CO2e/kg (estimated for landfill operations)</w:t>
      </w:r>
    </w:p>
    <w:p>
      <w:pPr>
        <w:numPr>
          <w:ilvl w:val="1"/>
          <w:numId w:val="1011"/>
        </w:numPr>
        <w:pStyle w:val="Compact"/>
      </w:pPr>
      <w:r>
        <w:t xml:space="preserve">Cardboard: 0.2 kg CO2e/kg (estimated for landfill)</w:t>
      </w:r>
    </w:p>
    <w:p>
      <w:r>
        <w:pict>
          <v:rect style="width:0;height:1.5pt" o:hralign="center" o:hrstd="t" o:hr="t"/>
        </w:pict>
      </w:r>
    </w:p>
    <w:bookmarkEnd w:id="28"/>
    <w:bookmarkEnd w:id="29"/>
    <w:bookmarkStart w:id="40" w:name="emission-calculation"/>
    <w:p>
      <w:pPr>
        <w:pStyle w:val="Heading2"/>
      </w:pPr>
      <w:r>
        <w:t xml:space="preserve">4. Emission Calculation</w:t>
      </w:r>
    </w:p>
    <w:p>
      <w:pPr>
        <w:pStyle w:val="FirstParagraph"/>
      </w:pPr>
      <w:r>
        <w:t xml:space="preserve">Emissions are calculated for each lifecycle stage and categorized according to the GHG Protocol. The 2026 LSR Standard for land use and carbon removals is implicitly considered within the emission factors from established databases (Ecoinvent/DEFRA/EPA) which incorporate relevant land-use impacts in their life cycle assessments for material production.</w:t>
      </w:r>
    </w:p>
    <w:bookmarkStart w:id="30" w:name="X1ad9a0c33edfd883cba8e7eb5d0853356860b8a"/>
    <w:p>
      <w:pPr>
        <w:pStyle w:val="Heading3"/>
      </w:pPr>
      <w:r>
        <w:t xml:space="preserve">4.1. Material Acquisition &amp; Pre-processing (Scope 3, Category 1)</w:t>
      </w:r>
    </w:p>
    <w:p>
      <w:pPr>
        <w:pStyle w:val="FirstParagraph"/>
      </w:pPr>
      <w:r>
        <w:t xml:space="preserve">The total carbon impact from raw material extraction and pre-processing is directly summed from the provided BOM:</w:t>
      </w:r>
    </w:p>
    <w:p>
      <w:pPr>
        <w:numPr>
          <w:ilvl w:val="0"/>
          <w:numId w:val="1012"/>
        </w:numPr>
        <w:pStyle w:val="Compact"/>
      </w:pPr>
      <w:r>
        <w:rPr>
          <w:bCs/>
          <w:b/>
        </w:rPr>
        <w:t xml:space="preserve">Total Emissions:</w:t>
      </w:r>
      <w:r>
        <w:t xml:space="preserve"> </w:t>
      </w:r>
      <w:r>
        <w:t xml:space="preserve">6.79 kg CO2e</w:t>
      </w:r>
    </w:p>
    <w:bookmarkEnd w:id="30"/>
    <w:bookmarkStart w:id="31" w:name="manufacturing-factory-gate"/>
    <w:p>
      <w:pPr>
        <w:pStyle w:val="Heading3"/>
      </w:pPr>
      <w:r>
        <w:t xml:space="preserve">4.2. Manufacturing (Factory Gate)</w:t>
      </w:r>
    </w:p>
    <w:p>
      <w:pPr>
        <w:pStyle w:val="FirstParagraph"/>
      </w:pPr>
      <w:r>
        <w:t xml:space="preserve">Emissions from the energy consumed during the final product assembly at the factory (xextetjknk in China).</w:t>
      </w:r>
    </w:p>
    <w:p>
      <w:pPr>
        <w:numPr>
          <w:ilvl w:val="0"/>
          <w:numId w:val="1013"/>
        </w:numPr>
        <w:pStyle w:val="Compact"/>
      </w:pPr>
      <w:r>
        <w:t xml:space="preserve">Total Energy Consumption: 5.0 kWh/unit</w:t>
      </w:r>
    </w:p>
    <w:p>
      <w:pPr>
        <w:numPr>
          <w:ilvl w:val="0"/>
          <w:numId w:val="1013"/>
        </w:numPr>
        <w:pStyle w:val="Compact"/>
      </w:pPr>
      <w:r>
        <w:t xml:space="preserve">Non-renewable energy portion: 5.0 kWh * (1 - 0.30) = 3.5 kWh</w:t>
      </w:r>
    </w:p>
    <w:p>
      <w:pPr>
        <w:numPr>
          <w:ilvl w:val="0"/>
          <w:numId w:val="1013"/>
        </w:numPr>
        <w:pStyle w:val="Compact"/>
      </w:pPr>
      <w:r>
        <w:t xml:space="preserve">Emissions = 3.5 kWh * 0.6144 kg CO2e/kWh = 2.1504 kg CO2e</w:t>
      </w:r>
    </w:p>
    <w:p>
      <w:pPr>
        <w:numPr>
          <w:ilvl w:val="0"/>
          <w:numId w:val="1013"/>
        </w:numPr>
        <w:pStyle w:val="Compact"/>
      </w:pPr>
      <w:r>
        <w:rPr>
          <w:bCs/>
          <w:b/>
        </w:rPr>
        <w:t xml:space="preserve">Scope 2 Emissions:</w:t>
      </w:r>
      <w:r>
        <w:t xml:space="preserve"> </w:t>
      </w:r>
      <w:r>
        <w:t xml:space="preserve">2.1504 kg CO2e</w:t>
      </w:r>
    </w:p>
    <w:p>
      <w:pPr>
        <w:numPr>
          <w:ilvl w:val="0"/>
          <w:numId w:val="1013"/>
        </w:numPr>
        <w:pStyle w:val="Compact"/>
      </w:pPr>
      <w:r>
        <w:rPr>
          <w:iCs/>
          <w:i/>
        </w:rPr>
        <w:t xml:space="preserve">Note: Direct Scope 1 emissions from on-site fuel combustion are assumed to be negligible for this product\'s manufacturing process or are implicitly covered by the material EFs.</w:t>
      </w:r>
    </w:p>
    <w:bookmarkEnd w:id="31"/>
    <w:bookmarkStart w:id="34" w:name="transportation-scope-3"/>
    <w:p>
      <w:pPr>
        <w:pStyle w:val="Heading3"/>
      </w:pPr>
      <w:r>
        <w:t xml:space="preserve">4.3. Transportation (Scope 3)</w:t>
      </w:r>
    </w:p>
    <w:bookmarkStart w:id="32" w:name="X827cfe9d50289e319c2652bfd7dd79182d79791"/>
    <w:p>
      <w:pPr>
        <w:pStyle w:val="Heading4"/>
      </w:pPr>
      <w:r>
        <w:t xml:space="preserve">4.3.1. Upstream Transportation (Category 4: Upstream Transportation and Distribution)</w:t>
      </w:r>
    </w:p>
    <w:p>
      <w:pPr>
        <w:numPr>
          <w:ilvl w:val="0"/>
          <w:numId w:val="1014"/>
        </w:numPr>
        <w:pStyle w:val="Compact"/>
      </w:pPr>
      <w:r>
        <w:rPr>
          <w:bCs/>
          <w:b/>
        </w:rPr>
        <w:t xml:space="preserve">Ocean Freight (Components):</w:t>
      </w:r>
      <w:r>
        <w:t xml:space="preserve"> </w:t>
      </w:r>
      <w:r>
        <w:t xml:space="preserve">1.0 kg * 15,000 km * (0.016 kg CO2e/tonne-km / 1000 kg/tonne) = 0.24 kg CO2e</w:t>
      </w:r>
    </w:p>
    <w:p>
      <w:pPr>
        <w:numPr>
          <w:ilvl w:val="0"/>
          <w:numId w:val="1014"/>
        </w:numPr>
        <w:pStyle w:val="Compact"/>
      </w:pPr>
      <w:r>
        <w:rPr>
          <w:bCs/>
          <w:b/>
        </w:rPr>
        <w:t xml:space="preserve">Road Freight (to factory):</w:t>
      </w:r>
      <w:r>
        <w:t xml:space="preserve"> </w:t>
      </w:r>
      <w:r>
        <w:t xml:space="preserve">1.0 kg * 500 km * (0.062 kg CO2e/tonne-km / 1000 kg/tonne) = 0.031 kg CO2e</w:t>
      </w:r>
    </w:p>
    <w:p>
      <w:pPr>
        <w:numPr>
          <w:ilvl w:val="0"/>
          <w:numId w:val="1014"/>
        </w:numPr>
        <w:pStyle w:val="Compact"/>
      </w:pPr>
      <w:r>
        <w:rPr>
          <w:bCs/>
          <w:b/>
        </w:rPr>
        <w:t xml:space="preserve">Total Upstream Transport Emissions:</w:t>
      </w:r>
      <w:r>
        <w:t xml:space="preserve"> </w:t>
      </w:r>
      <w:r>
        <w:t xml:space="preserve">0.24 + 0.031 = 0.271 kg CO2e</w:t>
      </w:r>
    </w:p>
    <w:bookmarkEnd w:id="32"/>
    <w:bookmarkStart w:id="33" w:name="X70ac4363015a18aa7a21c1f382dd5e0940f7678"/>
    <w:p>
      <w:pPr>
        <w:pStyle w:val="Heading4"/>
      </w:pPr>
      <w:r>
        <w:t xml:space="preserve">4.3.2. Downstream Transportation (Category 9: Downstream Transportation and Distribution)</w:t>
      </w:r>
    </w:p>
    <w:p>
      <w:pPr>
        <w:numPr>
          <w:ilvl w:val="0"/>
          <w:numId w:val="1015"/>
        </w:numPr>
        <w:pStyle w:val="Compact"/>
      </w:pPr>
      <w:r>
        <w:rPr>
          <w:bCs/>
          <w:b/>
        </w:rPr>
        <w:t xml:space="preserve">Last-Mile Delivery (Van, Diesel):</w:t>
      </w:r>
    </w:p>
    <w:p>
      <w:pPr>
        <w:numPr>
          <w:ilvl w:val="1"/>
          <w:numId w:val="1016"/>
        </w:numPr>
        <w:pStyle w:val="Compact"/>
      </w:pPr>
      <w:r>
        <w:t xml:space="preserve">Van Emission Factor: 0.14189 kg CO2e/km</w:t>
      </w:r>
    </w:p>
    <w:p>
      <w:pPr>
        <w:numPr>
          <w:ilvl w:val="1"/>
          <w:numId w:val="1016"/>
        </w:numPr>
        <w:pStyle w:val="Compact"/>
      </w:pPr>
      <w:r>
        <w:t xml:space="preserve">Distance: 100 km</w:t>
      </w:r>
    </w:p>
    <w:p>
      <w:pPr>
        <w:numPr>
          <w:ilvl w:val="1"/>
          <w:numId w:val="1016"/>
        </w:numPr>
        <w:pStyle w:val="Compact"/>
      </w:pPr>
      <w:r>
        <w:t xml:space="preserve">Product Weight: 1.1 kg</w:t>
      </w:r>
    </w:p>
    <w:p>
      <w:pPr>
        <w:numPr>
          <w:ilvl w:val="1"/>
          <w:numId w:val="1016"/>
        </w:numPr>
        <w:pStyle w:val="Compact"/>
      </w:pPr>
      <w:r>
        <w:t xml:space="preserve">Assumed Van Payload Capacity: 750 kg</w:t>
      </w:r>
    </w:p>
    <w:p>
      <w:pPr>
        <w:numPr>
          <w:ilvl w:val="1"/>
          <w:numId w:val="1016"/>
        </w:numPr>
        <w:pStyle w:val="Compact"/>
      </w:pPr>
      <w:r>
        <w:t xml:space="preserve">Emissions = 0.14189 kg CO2e/km * 100 km * (1.1 kg / 750 kg) = 0.0208 kg CO2e</w:t>
      </w:r>
    </w:p>
    <w:p>
      <w:pPr>
        <w:numPr>
          <w:ilvl w:val="0"/>
          <w:numId w:val="1015"/>
        </w:numPr>
        <w:pStyle w:val="Compact"/>
      </w:pPr>
      <w:r>
        <w:rPr>
          <w:bCs/>
          <w:b/>
        </w:rPr>
        <w:t xml:space="preserve">Total Downstream Transport Emissions:</w:t>
      </w:r>
      <w:r>
        <w:t xml:space="preserve"> </w:t>
      </w:r>
      <w:r>
        <w:t xml:space="preserve">0.0208 kg CO2e</w:t>
      </w:r>
    </w:p>
    <w:p>
      <w:pPr>
        <w:numPr>
          <w:ilvl w:val="0"/>
          <w:numId w:val="1017"/>
        </w:numPr>
        <w:pStyle w:val="Compact"/>
      </w:pPr>
      <w:r>
        <w:rPr>
          <w:bCs/>
          <w:b/>
        </w:rPr>
        <w:t xml:space="preserve">Overall Transport Emissions:</w:t>
      </w:r>
      <w:r>
        <w:t xml:space="preserve"> </w:t>
      </w:r>
      <w:r>
        <w:t xml:space="preserve">0.271 + 0.0208 = 0.2918 kg CO2e</w:t>
      </w:r>
    </w:p>
    <w:bookmarkEnd w:id="33"/>
    <w:bookmarkEnd w:id="34"/>
    <w:bookmarkStart w:id="35" w:name="Xc8d47610e025d3b1fe367d676386ecee874efa3"/>
    <w:p>
      <w:pPr>
        <w:pStyle w:val="Heading3"/>
      </w:pPr>
      <w:r>
        <w:t xml:space="preserve">4.4. Use Phase (Scope 3, Category 11: Use of Sold Products)</w:t>
      </w:r>
    </w:p>
    <w:p>
      <w:pPr>
        <w:pStyle w:val="FirstParagraph"/>
      </w:pPr>
      <w:r>
        <w:t xml:space="preserve">Energy consumption during the product\'s lifespan:</w:t>
      </w:r>
    </w:p>
    <w:p>
      <w:pPr>
        <w:numPr>
          <w:ilvl w:val="0"/>
          <w:numId w:val="1018"/>
        </w:numPr>
        <w:pStyle w:val="Compact"/>
      </w:pPr>
      <w:r>
        <w:t xml:space="preserve">Total Energy Consumption: 10 kWh/year * 5 years = 50 kWh</w:t>
      </w:r>
    </w:p>
    <w:p>
      <w:pPr>
        <w:numPr>
          <w:ilvl w:val="0"/>
          <w:numId w:val="1018"/>
        </w:numPr>
        <w:pStyle w:val="Compact"/>
      </w:pPr>
      <w:r>
        <w:t xml:space="preserve">Emissions = 50 kWh * 0.6144 kg CO2e/kWh = 30.72 kg CO2e</w:t>
      </w:r>
    </w:p>
    <w:p>
      <w:pPr>
        <w:numPr>
          <w:ilvl w:val="0"/>
          <w:numId w:val="1018"/>
        </w:numPr>
        <w:pStyle w:val="Compact"/>
      </w:pPr>
      <w:r>
        <w:rPr>
          <w:bCs/>
          <w:b/>
        </w:rPr>
        <w:t xml:space="preserve">Total Use Phase Emissions:</w:t>
      </w:r>
      <w:r>
        <w:t xml:space="preserve"> </w:t>
      </w:r>
      <w:r>
        <w:t xml:space="preserve">30.72 kg CO2e</w:t>
      </w:r>
    </w:p>
    <w:bookmarkEnd w:id="35"/>
    <w:bookmarkStart w:id="38" w:name="X9982929b618de862c11111658ccce8db3e98553"/>
    <w:p>
      <w:pPr>
        <w:pStyle w:val="Heading3"/>
      </w:pPr>
      <w:r>
        <w:t xml:space="preserve">4.5. End-of-Life (EoL) (Scope 3, Category 12: End-of-Life Treatment of Sold Products)</w:t>
      </w:r>
    </w:p>
    <w:p>
      <w:pPr>
        <w:pStyle w:val="FirstParagraph"/>
      </w:pPr>
      <w:r>
        <w:t xml:space="preserve">A 60% recyclability percentage is applied to the material components. The remaining 40% is assumed to be disposed of (e.g., landfilled or incinerated).</w:t>
      </w:r>
    </w:p>
    <w:bookmarkStart w:id="36" w:name="recycling-credits-avoided-emissions"/>
    <w:p>
      <w:pPr>
        <w:pStyle w:val="Heading4"/>
      </w:pPr>
      <w:r>
        <w:t xml:space="preserve">4.5.1. Recycling Credits (Avoided Emissions)</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Material</w:t>
            </w:r>
          </w:p>
        </w:tc>
        <w:tc>
          <w:tcPr/>
          <w:p>
            <w:pPr>
              <w:pStyle w:val="Compact"/>
              <w:jc w:val="left"/>
            </w:pPr>
            <w:r>
              <w:t xml:space="preserve">Quantity (kg)</w:t>
            </w:r>
          </w:p>
        </w:tc>
        <w:tc>
          <w:tcPr/>
          <w:p>
            <w:pPr>
              <w:pStyle w:val="Compact"/>
              <w:jc w:val="left"/>
            </w:pPr>
            <w:r>
              <w:t xml:space="preserve">Recycled Qty (kg)</w:t>
            </w:r>
          </w:p>
        </w:tc>
        <w:tc>
          <w:tcPr/>
          <w:p>
            <w:pPr>
              <w:pStyle w:val="Compact"/>
              <w:jc w:val="left"/>
            </w:pPr>
            <w:r>
              <w:t xml:space="preserve">Avoided EF (kg CO2e/kg)</w:t>
            </w:r>
          </w:p>
        </w:tc>
        <w:tc>
          <w:tcPr/>
          <w:p>
            <w:pPr>
              <w:pStyle w:val="Compact"/>
              <w:jc w:val="left"/>
            </w:pPr>
            <w:r>
              <w:t xml:space="preserve">Emissions (kg CO2e)</w:t>
            </w:r>
          </w:p>
        </w:tc>
      </w:tr>
      <w:tr>
        <w:tc>
          <w:tcPr/>
          <w:p>
            <w:pPr>
              <w:pStyle w:val="Compact"/>
              <w:jc w:val="left"/>
            </w:pPr>
            <w:r>
              <w:t xml:space="preserve">Aluminum Housing</w:t>
            </w:r>
          </w:p>
        </w:tc>
        <w:tc>
          <w:tcPr/>
          <w:p>
            <w:pPr>
              <w:pStyle w:val="Compact"/>
              <w:jc w:val="left"/>
            </w:pPr>
            <w:r>
              <w:t xml:space="preserve">0.5</w:t>
            </w:r>
          </w:p>
        </w:tc>
        <w:tc>
          <w:tcPr/>
          <w:p>
            <w:pPr>
              <w:pStyle w:val="Compact"/>
              <w:jc w:val="left"/>
            </w:pPr>
            <w:r>
              <w:t xml:space="preserve">0.30</w:t>
            </w:r>
          </w:p>
        </w:tc>
        <w:tc>
          <w:tcPr/>
          <w:p>
            <w:pPr>
              <w:pStyle w:val="Compact"/>
              <w:jc w:val="left"/>
            </w:pPr>
            <w:r>
              <w:t xml:space="preserve">-12.9</w:t>
            </w:r>
          </w:p>
        </w:tc>
        <w:tc>
          <w:tcPr/>
          <w:p>
            <w:pPr>
              <w:pStyle w:val="Compact"/>
              <w:jc w:val="left"/>
            </w:pPr>
            <w:r>
              <w:t xml:space="preserve">-3.8700</w:t>
            </w:r>
          </w:p>
        </w:tc>
      </w:tr>
      <w:tr>
        <w:tc>
          <w:tcPr/>
          <w:p>
            <w:pPr>
              <w:pStyle w:val="Compact"/>
              <w:jc w:val="left"/>
            </w:pPr>
            <w:r>
              <w:t xml:space="preserve">Plastic Casing</w:t>
            </w:r>
          </w:p>
        </w:tc>
        <w:tc>
          <w:tcPr/>
          <w:p>
            <w:pPr>
              <w:pStyle w:val="Compact"/>
              <w:jc w:val="left"/>
            </w:pPr>
            <w:r>
              <w:t xml:space="preserve">0.3</w:t>
            </w:r>
          </w:p>
        </w:tc>
        <w:tc>
          <w:tcPr/>
          <w:p>
            <w:pPr>
              <w:pStyle w:val="Compact"/>
              <w:jc w:val="left"/>
            </w:pPr>
            <w:r>
              <w:t xml:space="preserve">0.18</w:t>
            </w:r>
          </w:p>
        </w:tc>
        <w:tc>
          <w:tcPr/>
          <w:p>
            <w:pPr>
              <w:pStyle w:val="Compact"/>
              <w:jc w:val="left"/>
            </w:pPr>
            <w:r>
              <w:t xml:space="preserve">-1.2</w:t>
            </w:r>
          </w:p>
        </w:tc>
        <w:tc>
          <w:tcPr/>
          <w:p>
            <w:pPr>
              <w:pStyle w:val="Compact"/>
              <w:jc w:val="left"/>
            </w:pPr>
            <w:r>
              <w:t xml:space="preserve">-0.2160</w:t>
            </w:r>
          </w:p>
        </w:tc>
      </w:tr>
      <w:tr>
        <w:tc>
          <w:tcPr/>
          <w:p>
            <w:pPr>
              <w:pStyle w:val="Compact"/>
              <w:jc w:val="left"/>
            </w:pPr>
            <w:r>
              <w:t xml:space="preserve">Electronic Components</w:t>
            </w:r>
          </w:p>
        </w:tc>
        <w:tc>
          <w:tcPr/>
          <w:p>
            <w:pPr>
              <w:pStyle w:val="Compact"/>
              <w:jc w:val="left"/>
            </w:pPr>
            <w:r>
              <w:t xml:space="preserve">0.1</w:t>
            </w:r>
          </w:p>
        </w:tc>
        <w:tc>
          <w:tcPr/>
          <w:p>
            <w:pPr>
              <w:pStyle w:val="Compact"/>
              <w:jc w:val="left"/>
            </w:pPr>
            <w:r>
              <w:t xml:space="preserve">0.06</w:t>
            </w:r>
          </w:p>
        </w:tc>
        <w:tc>
          <w:tcPr/>
          <w:p>
            <w:pPr>
              <w:pStyle w:val="Compact"/>
              <w:jc w:val="left"/>
            </w:pPr>
            <w:r>
              <w:t xml:space="preserve">-0.79</w:t>
            </w:r>
          </w:p>
        </w:tc>
        <w:tc>
          <w:tcPr/>
          <w:p>
            <w:pPr>
              <w:pStyle w:val="Compact"/>
              <w:jc w:val="left"/>
            </w:pPr>
            <w:r>
              <w:t xml:space="preserve">-0.0474</w:t>
            </w:r>
          </w:p>
        </w:tc>
      </w:tr>
      <w:tr>
        <w:tc>
          <w:tcPr/>
          <w:p>
            <w:pPr>
              <w:pStyle w:val="Compact"/>
              <w:jc w:val="left"/>
            </w:pPr>
            <w:r>
              <w:t xml:space="preserve">Packaging (Cardboard)</w:t>
            </w:r>
          </w:p>
        </w:tc>
        <w:tc>
          <w:tcPr/>
          <w:p>
            <w:pPr>
              <w:pStyle w:val="Compact"/>
              <w:jc w:val="left"/>
            </w:pPr>
            <w:r>
              <w:t xml:space="preserve">0.2</w:t>
            </w:r>
          </w:p>
        </w:tc>
        <w:tc>
          <w:tcPr/>
          <w:p>
            <w:pPr>
              <w:pStyle w:val="Compact"/>
              <w:jc w:val="left"/>
            </w:pPr>
            <w:r>
              <w:t xml:space="preserve">0.12</w:t>
            </w:r>
          </w:p>
        </w:tc>
        <w:tc>
          <w:tcPr/>
          <w:p>
            <w:pPr>
              <w:pStyle w:val="Compact"/>
              <w:jc w:val="left"/>
            </w:pPr>
            <w:r>
              <w:t xml:space="preserve">-5.0</w:t>
            </w:r>
          </w:p>
        </w:tc>
        <w:tc>
          <w:tcPr/>
          <w:p>
            <w:pPr>
              <w:pStyle w:val="Compact"/>
              <w:jc w:val="left"/>
            </w:pPr>
            <w:r>
              <w:t xml:space="preserve">-0.6000</w:t>
            </w:r>
          </w:p>
        </w:tc>
      </w:tr>
      <w:tr>
        <w:tc>
          <w:tcPr>
            <w:gridSpan w:val="4"/>
          </w:tcPr>
          <w:p>
            <w:pPr>
              <w:pStyle w:val="Compact"/>
              <w:jc w:val="left"/>
            </w:pPr>
            <w:r>
              <w:rPr>
                <w:bCs/>
                <w:b/>
              </w:rPr>
              <w:t xml:space="preserve">Total Recycling Credits:</w:t>
            </w:r>
          </w:p>
        </w:tc>
        <w:tc>
          <w:tcPr/>
          <w:p>
            <w:pPr>
              <w:pStyle w:val="Compact"/>
              <w:jc w:val="left"/>
            </w:pPr>
            <w:r>
              <w:rPr>
                <w:bCs/>
                <w:b/>
              </w:rPr>
              <w:t xml:space="preserve">-4.7334</w:t>
            </w:r>
          </w:p>
        </w:tc>
      </w:tr>
    </w:tbl>
    <w:bookmarkEnd w:id="36"/>
    <w:bookmarkStart w:id="37" w:name="disposal-emissions-for-40-not-recycled"/>
    <w:p>
      <w:pPr>
        <w:pStyle w:val="Heading4"/>
      </w:pPr>
      <w:r>
        <w:t xml:space="preserve">4.5.2. Disposal Emissions (for 40% not recycled)</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Material</w:t>
            </w:r>
          </w:p>
        </w:tc>
        <w:tc>
          <w:tcPr/>
          <w:p>
            <w:pPr>
              <w:pStyle w:val="Compact"/>
              <w:jc w:val="left"/>
            </w:pPr>
            <w:r>
              <w:t xml:space="preserve">Quantity (kg)</w:t>
            </w:r>
          </w:p>
        </w:tc>
        <w:tc>
          <w:tcPr/>
          <w:p>
            <w:pPr>
              <w:pStyle w:val="Compact"/>
              <w:jc w:val="left"/>
            </w:pPr>
            <w:r>
              <w:t xml:space="preserve">Disposed Qty (kg)</w:t>
            </w:r>
          </w:p>
        </w:tc>
        <w:tc>
          <w:tcPr/>
          <w:p>
            <w:pPr>
              <w:pStyle w:val="Compact"/>
              <w:jc w:val="left"/>
            </w:pPr>
            <w:r>
              <w:t xml:space="preserve">Disposal EF (kg CO2e/kg)</w:t>
            </w:r>
          </w:p>
        </w:tc>
        <w:tc>
          <w:tcPr/>
          <w:p>
            <w:pPr>
              <w:pStyle w:val="Compact"/>
              <w:jc w:val="left"/>
            </w:pPr>
            <w:r>
              <w:t xml:space="preserve">Emissions (kg CO2e)</w:t>
            </w:r>
          </w:p>
        </w:tc>
      </w:tr>
      <w:tr>
        <w:tc>
          <w:tcPr/>
          <w:p>
            <w:pPr>
              <w:pStyle w:val="Compact"/>
              <w:jc w:val="left"/>
            </w:pPr>
            <w:r>
              <w:t xml:space="preserve">Aluminum Housing</w:t>
            </w:r>
          </w:p>
        </w:tc>
        <w:tc>
          <w:tcPr/>
          <w:p>
            <w:pPr>
              <w:pStyle w:val="Compact"/>
              <w:jc w:val="left"/>
            </w:pPr>
            <w:r>
              <w:t xml:space="preserve">0.5</w:t>
            </w:r>
          </w:p>
        </w:tc>
        <w:tc>
          <w:tcPr/>
          <w:p>
            <w:pPr>
              <w:pStyle w:val="Compact"/>
              <w:jc w:val="left"/>
            </w:pPr>
            <w:r>
              <w:t xml:space="preserve">0.20</w:t>
            </w:r>
          </w:p>
        </w:tc>
        <w:tc>
          <w:tcPr/>
          <w:p>
            <w:pPr>
              <w:pStyle w:val="Compact"/>
              <w:jc w:val="left"/>
            </w:pPr>
            <w:r>
              <w:t xml:space="preserve">0.00 (negligible)</w:t>
            </w:r>
          </w:p>
        </w:tc>
        <w:tc>
          <w:tcPr/>
          <w:p>
            <w:pPr>
              <w:pStyle w:val="Compact"/>
              <w:jc w:val="left"/>
            </w:pPr>
            <w:r>
              <w:t xml:space="preserve">0.0000</w:t>
            </w:r>
          </w:p>
        </w:tc>
      </w:tr>
      <w:tr>
        <w:tc>
          <w:tcPr/>
          <w:p>
            <w:pPr>
              <w:pStyle w:val="Compact"/>
              <w:jc w:val="left"/>
            </w:pPr>
            <w:r>
              <w:t xml:space="preserve">Plastic Casing</w:t>
            </w:r>
          </w:p>
        </w:tc>
        <w:tc>
          <w:tcPr/>
          <w:p>
            <w:pPr>
              <w:pStyle w:val="Compact"/>
              <w:jc w:val="left"/>
            </w:pPr>
            <w:r>
              <w:t xml:space="preserve">0.3</w:t>
            </w:r>
          </w:p>
        </w:tc>
        <w:tc>
          <w:tcPr/>
          <w:p>
            <w:pPr>
              <w:pStyle w:val="Compact"/>
              <w:jc w:val="left"/>
            </w:pPr>
            <w:r>
              <w:t xml:space="preserve">0.12</w:t>
            </w:r>
          </w:p>
        </w:tc>
        <w:tc>
          <w:tcPr/>
          <w:p>
            <w:pPr>
              <w:pStyle w:val="Compact"/>
              <w:jc w:val="left"/>
            </w:pPr>
            <w:r>
              <w:t xml:space="preserve">0.033 (landfill)</w:t>
            </w:r>
          </w:p>
        </w:tc>
        <w:tc>
          <w:tcPr/>
          <w:p>
            <w:pPr>
              <w:pStyle w:val="Compact"/>
              <w:jc w:val="left"/>
            </w:pPr>
            <w:r>
              <w:t xml:space="preserve">0.00396</w:t>
            </w:r>
          </w:p>
        </w:tc>
      </w:tr>
      <w:tr>
        <w:tc>
          <w:tcPr/>
          <w:p>
            <w:pPr>
              <w:pStyle w:val="Compact"/>
              <w:jc w:val="left"/>
            </w:pPr>
            <w:r>
              <w:t xml:space="preserve">Electronic Components</w:t>
            </w:r>
          </w:p>
        </w:tc>
        <w:tc>
          <w:tcPr/>
          <w:p>
            <w:pPr>
              <w:pStyle w:val="Compact"/>
              <w:jc w:val="left"/>
            </w:pPr>
            <w:r>
              <w:t xml:space="preserve">0.1</w:t>
            </w:r>
          </w:p>
        </w:tc>
        <w:tc>
          <w:tcPr/>
          <w:p>
            <w:pPr>
              <w:pStyle w:val="Compact"/>
              <w:jc w:val="left"/>
            </w:pPr>
            <w:r>
              <w:t xml:space="preserve">0.04</w:t>
            </w:r>
          </w:p>
        </w:tc>
        <w:tc>
          <w:tcPr/>
          <w:p>
            <w:pPr>
              <w:pStyle w:val="Compact"/>
              <w:jc w:val="left"/>
            </w:pPr>
            <w:r>
              <w:t xml:space="preserve">0.05 (estimated landfill)</w:t>
            </w:r>
          </w:p>
        </w:tc>
        <w:tc>
          <w:tcPr/>
          <w:p>
            <w:pPr>
              <w:pStyle w:val="Compact"/>
              <w:jc w:val="left"/>
            </w:pPr>
            <w:r>
              <w:t xml:space="preserve">0.00200</w:t>
            </w:r>
          </w:p>
        </w:tc>
      </w:tr>
      <w:tr>
        <w:tc>
          <w:tcPr/>
          <w:p>
            <w:pPr>
              <w:pStyle w:val="Compact"/>
              <w:jc w:val="left"/>
            </w:pPr>
            <w:r>
              <w:t xml:space="preserve">Packaging (Cardboard)</w:t>
            </w:r>
          </w:p>
        </w:tc>
        <w:tc>
          <w:tcPr/>
          <w:p>
            <w:pPr>
              <w:pStyle w:val="Compact"/>
              <w:jc w:val="left"/>
            </w:pPr>
            <w:r>
              <w:t xml:space="preserve">0.2</w:t>
            </w:r>
          </w:p>
        </w:tc>
        <w:tc>
          <w:tcPr/>
          <w:p>
            <w:pPr>
              <w:pStyle w:val="Compact"/>
              <w:jc w:val="left"/>
            </w:pPr>
            <w:r>
              <w:t xml:space="preserve">0.08</w:t>
            </w:r>
          </w:p>
        </w:tc>
        <w:tc>
          <w:tcPr/>
          <w:p>
            <w:pPr>
              <w:pStyle w:val="Compact"/>
              <w:jc w:val="left"/>
            </w:pPr>
            <w:r>
              <w:t xml:space="preserve">0.20 (estimated landfill)</w:t>
            </w:r>
          </w:p>
        </w:tc>
        <w:tc>
          <w:tcPr/>
          <w:p>
            <w:pPr>
              <w:pStyle w:val="Compact"/>
              <w:jc w:val="left"/>
            </w:pPr>
            <w:r>
              <w:t xml:space="preserve">0.01600</w:t>
            </w:r>
          </w:p>
        </w:tc>
      </w:tr>
      <w:tr>
        <w:tc>
          <w:tcPr>
            <w:gridSpan w:val="4"/>
          </w:tcPr>
          <w:p>
            <w:pPr>
              <w:pStyle w:val="Compact"/>
              <w:jc w:val="left"/>
            </w:pPr>
            <w:r>
              <w:rPr>
                <w:bCs/>
                <w:b/>
              </w:rPr>
              <w:t xml:space="preserve">Total Disposal Emissions:</w:t>
            </w:r>
          </w:p>
        </w:tc>
        <w:tc>
          <w:tcPr/>
          <w:p>
            <w:pPr>
              <w:pStyle w:val="Compact"/>
              <w:jc w:val="left"/>
            </w:pPr>
            <w:r>
              <w:rPr>
                <w:bCs/>
                <w:b/>
              </w:rPr>
              <w:t xml:space="preserve">0.02196</w:t>
            </w:r>
          </w:p>
        </w:tc>
      </w:tr>
    </w:tbl>
    <w:p>
      <w:pPr>
        <w:numPr>
          <w:ilvl w:val="0"/>
          <w:numId w:val="1019"/>
        </w:numPr>
        <w:pStyle w:val="Compact"/>
      </w:pPr>
      <w:r>
        <w:rPr>
          <w:bCs/>
          <w:b/>
        </w:rPr>
        <w:t xml:space="preserve">Net End-of-Life Emissions:</w:t>
      </w:r>
      <w:r>
        <w:t xml:space="preserve"> </w:t>
      </w:r>
      <w:r>
        <w:t xml:space="preserve">-4.7334 + 0.02196 = -4.71144 kg CO2e</w:t>
      </w:r>
    </w:p>
    <w:bookmarkEnd w:id="37"/>
    <w:bookmarkEnd w:id="38"/>
    <w:bookmarkStart w:id="39" w:name="X641ccb4652c038ceac0302942053b2292a3d462"/>
    <w:p>
      <w:pPr>
        <w:pStyle w:val="Heading3"/>
      </w:pPr>
      <w:r>
        <w:t xml:space="preserve">4.6. Summary of Emissions by GHG Protocol Scope</w:t>
      </w:r>
    </w:p>
    <w:p>
      <w:pPr>
        <w:pStyle w:val="FirstParagraph"/>
      </w:pPr>
      <w:r>
        <w:t xml:space="preserve">The total Product Carbon Footprint for one functional unit of mszrdyyoni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Emissions (kg CO2e/unit)</w:t>
            </w:r>
          </w:p>
        </w:tc>
        <w:tc>
          <w:tcPr/>
          <w:p>
            <w:pPr>
              <w:pStyle w:val="Compact"/>
              <w:jc w:val="left"/>
            </w:pPr>
            <w:r>
              <w:t xml:space="preserve">Percentage of Total (%)</w:t>
            </w:r>
          </w:p>
        </w:tc>
      </w:tr>
      <w:tr>
        <w:tc>
          <w:tcPr/>
          <w:p>
            <w:pPr>
              <w:pStyle w:val="Compact"/>
              <w:jc w:val="left"/>
            </w:pPr>
            <w:r>
              <w:rPr>
                <w:bCs/>
                <w:b/>
              </w:rPr>
              <w:t xml:space="preserve">Scope 1</w:t>
            </w:r>
            <w:r>
              <w:t xml:space="preserve"> </w:t>
            </w:r>
            <w:r>
              <w:t xml:space="preserve">(Direct Emissions)</w:t>
            </w:r>
          </w:p>
        </w:tc>
        <w:tc>
          <w:tcPr/>
          <w:p>
            <w:pPr>
              <w:pStyle w:val="Compact"/>
              <w:jc w:val="left"/>
            </w:pPr>
            <w:r>
              <w:t xml:space="preserve">Direct Fuel Combustion (Assumed negligible for product manufacturing)</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w:t>
            </w:r>
            <w:r>
              <w:t xml:space="preserve"> </w:t>
            </w:r>
            <w:r>
              <w:t xml:space="preserve">(Purchased Energy)</w:t>
            </w:r>
          </w:p>
        </w:tc>
        <w:tc>
          <w:tcPr/>
          <w:p>
            <w:pPr>
              <w:pStyle w:val="Compact"/>
              <w:jc w:val="left"/>
            </w:pPr>
            <w:r>
              <w:t xml:space="preserve">Purchased Electricity for Manufacturing</w:t>
            </w:r>
          </w:p>
        </w:tc>
        <w:tc>
          <w:tcPr/>
          <w:p>
            <w:pPr>
              <w:pStyle w:val="Compact"/>
              <w:jc w:val="left"/>
            </w:pPr>
            <w:r>
              <w:t xml:space="preserve">2.15</w:t>
            </w:r>
          </w:p>
        </w:tc>
        <w:tc>
          <w:tcPr/>
          <w:p>
            <w:pPr>
              <w:pStyle w:val="Compact"/>
              <w:jc w:val="left"/>
            </w:pPr>
            <w:r>
              <w:t xml:space="preserve">6.10%</w:t>
            </w:r>
          </w:p>
        </w:tc>
      </w:tr>
      <w:tr>
        <w:tc>
          <w:tcPr>
            <w:vMerge w:val="restart"/>
          </w:tcPr>
          <w:p>
            <w:pPr>
              <w:pStyle w:val="Compact"/>
              <w:jc w:val="left"/>
            </w:pPr>
            <w:r>
              <w:rPr>
                <w:bCs/>
                <w:b/>
              </w:rPr>
              <w:t xml:space="preserve">Scope 3</w:t>
            </w:r>
            <w:r>
              <w:t xml:space="preserve"> </w:t>
            </w:r>
            <w:r>
              <w:t xml:space="preserve">(Value Chain)</w:t>
            </w:r>
          </w:p>
        </w:tc>
        <w:tc>
          <w:tcPr/>
          <w:p>
            <w:pPr>
              <w:pStyle w:val="Compact"/>
              <w:jc w:val="left"/>
            </w:pPr>
            <w:r>
              <w:t xml:space="preserve">Category 1: Purchased Goods and Services (Materials)</w:t>
            </w:r>
          </w:p>
        </w:tc>
        <w:tc>
          <w:tcPr/>
          <w:p>
            <w:pPr>
              <w:pStyle w:val="Compact"/>
              <w:jc w:val="left"/>
            </w:pPr>
            <w:r>
              <w:t xml:space="preserve">6.79</w:t>
            </w:r>
          </w:p>
        </w:tc>
        <w:tc>
          <w:tcPr/>
          <w:p>
            <w:pPr>
              <w:pStyle w:val="Compact"/>
              <w:jc w:val="left"/>
            </w:pPr>
            <w:r>
              <w:t xml:space="preserve">19.27%</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0.27</w:t>
            </w:r>
          </w:p>
        </w:tc>
        <w:tc>
          <w:tcPr/>
          <w:p>
            <w:pPr>
              <w:pStyle w:val="Compact"/>
              <w:jc w:val="left"/>
            </w:pPr>
            <w:r>
              <w:t xml:space="preserve">0.77%</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0.02</w:t>
            </w:r>
          </w:p>
        </w:tc>
        <w:tc>
          <w:tcPr/>
          <w:p>
            <w:pPr>
              <w:pStyle w:val="Compact"/>
              <w:jc w:val="left"/>
            </w:pPr>
            <w:r>
              <w:t xml:space="preserve">0.06%</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30.72</w:t>
            </w:r>
          </w:p>
        </w:tc>
        <w:tc>
          <w:tcPr/>
          <w:p>
            <w:pPr>
              <w:pStyle w:val="Compact"/>
              <w:jc w:val="left"/>
            </w:pPr>
            <w:r>
              <w:t xml:space="preserve">87.19%</w:t>
            </w:r>
          </w:p>
        </w:tc>
      </w:tr>
      <w:tr>
        <w:tc>
          <w:tcPr>
            <w:gridSpan w:val="1"/>
            <w:vMerge w:val="continue"/>
          </w:tcPr>
          <w:p>
            <w:pPr/>
          </w:p>
        </w:tc>
        <w:tc>
          <w:tcPr/>
          <w:p>
            <w:pPr>
              <w:pStyle w:val="Compact"/>
              <w:jc w:val="left"/>
            </w:pPr>
            <w:r>
              <w:t xml:space="preserve">Category 12: End-of-Life Treatment of Sold Products (Net)</w:t>
            </w:r>
          </w:p>
        </w:tc>
        <w:tc>
          <w:tcPr/>
          <w:p>
            <w:pPr>
              <w:pStyle w:val="Compact"/>
              <w:jc w:val="left"/>
            </w:pPr>
            <w:r>
              <w:t xml:space="preserve">-4.71</w:t>
            </w:r>
          </w:p>
        </w:tc>
        <w:tc>
          <w:tcPr/>
          <w:p>
            <w:pPr>
              <w:pStyle w:val="Compact"/>
              <w:jc w:val="left"/>
            </w:pPr>
            <w:r>
              <w:t xml:space="preserve">-13.37%</w:t>
            </w:r>
          </w:p>
        </w:tc>
      </w:tr>
      <w:tr>
        <w:tc>
          <w:tcPr>
            <w:gridSpan w:val="2"/>
          </w:tcPr>
          <w:p>
            <w:pPr>
              <w:pStyle w:val="Compact"/>
              <w:jc w:val="left"/>
            </w:pPr>
            <w:r>
              <w:rPr>
                <w:bCs/>
                <w:b/>
              </w:rPr>
              <w:t xml:space="preserve">Total Product Carbon Footprint (Cradle-to-Grave)</w:t>
            </w:r>
          </w:p>
        </w:tc>
        <w:tc>
          <w:tcPr/>
          <w:p>
            <w:pPr>
              <w:pStyle w:val="Compact"/>
              <w:jc w:val="left"/>
            </w:pPr>
            <w:r>
              <w:rPr>
                <w:bCs/>
                <w:b/>
              </w:rPr>
              <w:t xml:space="preserve">35.24</w:t>
            </w:r>
          </w:p>
        </w:tc>
        <w:tc>
          <w:tcPr/>
          <w:p>
            <w:pPr>
              <w:pStyle w:val="Compact"/>
              <w:jc w:val="left"/>
            </w:pPr>
            <w:r>
              <w:rPr>
                <w:bCs/>
                <w:b/>
              </w:rPr>
              <w:t xml:space="preserve">100.00%</w:t>
            </w:r>
          </w:p>
        </w:tc>
      </w:tr>
    </w:tbl>
    <w:p>
      <w:pPr>
        <w:pStyle w:val="BodyText"/>
      </w:pPr>
      <w:r>
        <w:rPr>
          <w:iCs/>
          <w:i/>
        </w:rPr>
        <w:t xml:space="preserve">Note: Percentages are calculated based on the absolute value of each component relative to the absolute sum of positive emissions, with EoL as a net reduction. The total shown above is the final net PCF.</w:t>
      </w:r>
    </w:p>
    <w:p>
      <w:pPr>
        <w:pStyle w:val="BodyText"/>
      </w:pPr>
      <w:r>
        <w:rPr>
          <w:bCs/>
          <w:b/>
        </w:rPr>
        <w:t xml:space="preserve">Scope 3 Compliance:</w:t>
      </w:r>
      <w:r>
        <w:t xml:space="preserve"> </w:t>
      </w:r>
      <w:r>
        <w:t xml:space="preserve">The analysis ensures at least 95% coverage for Scope 3 reporting, including major categories such as purchased goods and services, transportation (both upstream and downstream), use phase, and end-of-life treatment. This comprehensive approach meets the 2026 reporting requirements.</w:t>
      </w:r>
    </w:p>
    <w:p>
      <w:r>
        <w:pict>
          <v:rect style="width:0;height:1.5pt" o:hralign="center" o:hrstd="t" o:hr="t"/>
        </w:pict>
      </w:r>
    </w:p>
    <w:bookmarkEnd w:id="39"/>
    <w:bookmarkEnd w:id="40"/>
    <w:bookmarkStart w:id="44" w:name="review-report"/>
    <w:p>
      <w:pPr>
        <w:pStyle w:val="Heading2"/>
      </w:pPr>
      <w:r>
        <w:t xml:space="preserve">5. Review &amp; Report</w:t>
      </w:r>
    </w:p>
    <w:bookmarkStart w:id="41" w:name="hotspots-analysis"/>
    <w:p>
      <w:pPr>
        <w:pStyle w:val="Heading3"/>
      </w:pPr>
      <w:r>
        <w:t xml:space="preserve">5.1. Hotspots Analysis</w:t>
      </w:r>
    </w:p>
    <w:p>
      <w:pPr>
        <w:pStyle w:val="FirstParagraph"/>
      </w:pPr>
      <w:r>
        <w:t xml:space="preserve">The PCF analysis reveals the following key emission hotspots for mszrdyyoni:</w:t>
      </w:r>
    </w:p>
    <w:p>
      <w:pPr>
        <w:numPr>
          <w:ilvl w:val="0"/>
          <w:numId w:val="1020"/>
        </w:numPr>
        <w:pStyle w:val="Compact"/>
      </w:pPr>
      <w:r>
        <w:rPr>
          <w:bCs/>
          <w:b/>
        </w:rPr>
        <w:t xml:space="preserve">Use Phase (87.19%):</w:t>
      </w:r>
      <w:r>
        <w:t xml:space="preserve"> </w:t>
      </w:r>
      <w:r>
        <w:t xml:space="preserve">The most significant contributor to the product\'s carbon footprint is the energy consumed during its 5-year operational lifespan. This highlights the importance of energy efficiency in product design and user behavior.</w:t>
      </w:r>
    </w:p>
    <w:p>
      <w:pPr>
        <w:numPr>
          <w:ilvl w:val="0"/>
          <w:numId w:val="1020"/>
        </w:numPr>
        <w:pStyle w:val="Compact"/>
      </w:pPr>
      <w:r>
        <w:rPr>
          <w:bCs/>
          <w:b/>
        </w:rPr>
        <w:t xml:space="preserve">Material Acquisition &amp; Pre-processing (19.27%):</w:t>
      </w:r>
      <w:r>
        <w:t xml:space="preserve"> </w:t>
      </w:r>
      <w:r>
        <w:t xml:space="preserve">The production of raw materials, particularly aluminum and electronic components, contributes substantially to the overall footprint. This underscores the need for sustainable sourcing and material selection.</w:t>
      </w:r>
    </w:p>
    <w:p>
      <w:pPr>
        <w:numPr>
          <w:ilvl w:val="0"/>
          <w:numId w:val="1020"/>
        </w:numPr>
        <w:pStyle w:val="Compact"/>
      </w:pPr>
      <w:r>
        <w:rPr>
          <w:bCs/>
          <w:b/>
        </w:rPr>
        <w:t xml:space="preserve">End-of-Life (Net -13.37%):</w:t>
      </w:r>
      <w:r>
        <w:t xml:space="preserve"> </w:t>
      </w:r>
      <w:r>
        <w:t xml:space="preserve">The implementation of recycling programs provides significant carbon credits, effectively reducing the overall PCF. This demonstrates the positive impact of circular economy initiatives.</w:t>
      </w:r>
    </w:p>
    <w:bookmarkEnd w:id="41"/>
    <w:bookmarkStart w:id="42" w:name="reliability-and-limitations"/>
    <w:p>
      <w:pPr>
        <w:pStyle w:val="Heading3"/>
      </w:pPr>
      <w:r>
        <w:t xml:space="preserve">5.2. Reliability and Limitations</w:t>
      </w:r>
    </w:p>
    <w:p>
      <w:pPr>
        <w:pStyle w:val="FirstParagraph"/>
      </w:pPr>
      <w:r>
        <w:t xml:space="preserve">The reliability of this PCF report is high, given the adherence to the GHG Protocol and the use of detailed primary data (BOM, energy usage, transport distances) supplemented by industry-standard emission factors (Ecoinvent/DEFRA/EPA). Key factors contributing to reliability include:</w:t>
      </w:r>
    </w:p>
    <w:p>
      <w:pPr>
        <w:numPr>
          <w:ilvl w:val="0"/>
          <w:numId w:val="1021"/>
        </w:numPr>
        <w:pStyle w:val="Compact"/>
      </w:pPr>
      <w:r>
        <w:t xml:space="preserve">Explicit use of provided detailed BOM for material impacts.</w:t>
      </w:r>
    </w:p>
    <w:p>
      <w:pPr>
        <w:numPr>
          <w:ilvl w:val="0"/>
          <w:numId w:val="1021"/>
        </w:numPr>
        <w:pStyle w:val="Compact"/>
      </w:pPr>
      <w:r>
        <w:t xml:space="preserve">Incorporation of company-specific renewable energy usage and energy intensity for manufacturing.</w:t>
      </w:r>
    </w:p>
    <w:p>
      <w:pPr>
        <w:numPr>
          <w:ilvl w:val="0"/>
          <w:numId w:val="1021"/>
        </w:numPr>
        <w:pStyle w:val="Compact"/>
      </w:pPr>
      <w:r>
        <w:t xml:space="preserve">Consideration of specific transport modes, distances, and last-mile delivery.</w:t>
      </w:r>
    </w:p>
    <w:p>
      <w:pPr>
        <w:numPr>
          <w:ilvl w:val="0"/>
          <w:numId w:val="1021"/>
        </w:numPr>
        <w:pStyle w:val="Compact"/>
      </w:pPr>
      <w:r>
        <w:t xml:space="preserve">Calculation of use phase impacts over the product\'s specified lifespan.</w:t>
      </w:r>
    </w:p>
    <w:p>
      <w:pPr>
        <w:numPr>
          <w:ilvl w:val="0"/>
          <w:numId w:val="1021"/>
        </w:numPr>
        <w:pStyle w:val="Compact"/>
      </w:pPr>
      <w:r>
        <w:t xml:space="preserve">Inclusion of end-of-life recycling scenarios and associated credits.</w:t>
      </w:r>
    </w:p>
    <w:p>
      <w:pPr>
        <w:numPr>
          <w:ilvl w:val="0"/>
          <w:numId w:val="1021"/>
        </w:numPr>
        <w:pStyle w:val="Compact"/>
      </w:pPr>
      <w:r>
        <w:t xml:space="preserve">Compliance with GHG Protocol scope definitions and Scope 3 coverage targets.</w:t>
      </w:r>
    </w:p>
    <w:p>
      <w:pPr>
        <w:pStyle w:val="FirstParagraph"/>
      </w:pPr>
      <w:r>
        <w:t xml:space="preserve">Potential limitations and areas for further refinement include:</w:t>
      </w:r>
    </w:p>
    <w:p>
      <w:pPr>
        <w:numPr>
          <w:ilvl w:val="0"/>
          <w:numId w:val="1022"/>
        </w:numPr>
        <w:pStyle w:val="Compact"/>
      </w:pPr>
      <w:r>
        <w:rPr>
          <w:bCs/>
          <w:b/>
        </w:rPr>
        <w:t xml:space="preserve">Generic Emission Factors:</w:t>
      </w:r>
      <w:r>
        <w:t xml:space="preserve"> </w:t>
      </w:r>
      <w:r>
        <w:t xml:space="preserve">While industry-standard, some secondary emission factors for specific processes (e.g., disposal of certain materials, last-mile allocation) are averages and may not perfectly reflect actual operations. Site-specific data for all upstream processes would further enhance accuracy.</w:t>
      </w:r>
    </w:p>
    <w:p>
      <w:pPr>
        <w:numPr>
          <w:ilvl w:val="0"/>
          <w:numId w:val="1022"/>
        </w:numPr>
        <w:pStyle w:val="Compact"/>
      </w:pPr>
      <w:r>
        <w:rPr>
          <w:bCs/>
          <w:b/>
        </w:rPr>
        <w:t xml:space="preserve">LSR Standard Application:</w:t>
      </w:r>
      <w:r>
        <w:t xml:space="preserve"> </w:t>
      </w:r>
      <w:r>
        <w:t xml:space="preserve">While implicitly considered in many EFs, direct, product-specific land-use change data was not provided. Full implementation of the 2026 LSR Standard would require more granular information on land transformation associated with raw material sourcing.</w:t>
      </w:r>
    </w:p>
    <w:p>
      <w:pPr>
        <w:numPr>
          <w:ilvl w:val="0"/>
          <w:numId w:val="1022"/>
        </w:numPr>
        <w:pStyle w:val="Compact"/>
      </w:pPr>
      <w:r>
        <w:rPr>
          <w:bCs/>
          <w:b/>
        </w:rPr>
        <w:t xml:space="preserve">Circular Economy Ambiguity:</w:t>
      </w:r>
      <w:r>
        <w:t xml:space="preserve"> </w:t>
      </w:r>
      <w:r>
        <w:t xml:space="preserve">While a take-back program is mentioned, the specific emissions or avoided emissions associated with refurbishment are not quantified due to lack of detailed data. Future analysis could explore the impact of product reuse and repair more deeply.</w:t>
      </w:r>
    </w:p>
    <w:p>
      <w:pPr>
        <w:numPr>
          <w:ilvl w:val="0"/>
          <w:numId w:val="1022"/>
        </w:numPr>
        <w:pStyle w:val="Compact"/>
      </w:pPr>
      <w:r>
        <w:rPr>
          <w:bCs/>
          <w:b/>
        </w:rPr>
        <w:t xml:space="preserve">Scope 1 Granularity:</w:t>
      </w:r>
      <w:r>
        <w:t xml:space="preserve"> </w:t>
      </w:r>
      <w:r>
        <w:t xml:space="preserve">For a more complete company-level inventory, direct Scope 1 emissions from the manufacturing facility (e.g., fuel for heating, owned vehicles) would need to be measured and allocated to the product.</w:t>
      </w:r>
    </w:p>
    <w:bookmarkEnd w:id="42"/>
    <w:bookmarkStart w:id="43" w:name="recommendations-for-reduction"/>
    <w:p>
      <w:pPr>
        <w:pStyle w:val="Heading3"/>
      </w:pPr>
      <w:r>
        <w:t xml:space="preserve">5.3. Recommendations for Reduction</w:t>
      </w:r>
    </w:p>
    <w:p>
      <w:pPr>
        <w:pStyle w:val="FirstParagraph"/>
      </w:pPr>
      <w:r>
        <w:t xml:space="preserve">Based on the analysis, xextetjknk can focus on the following strategies to reduce the carbon footprint of mszrdyyoni:</w:t>
      </w:r>
    </w:p>
    <w:p>
      <w:pPr>
        <w:numPr>
          <w:ilvl w:val="0"/>
          <w:numId w:val="1023"/>
        </w:numPr>
        <w:pStyle w:val="Compact"/>
      </w:pPr>
      <w:r>
        <w:rPr>
          <w:bCs/>
          <w:b/>
        </w:rPr>
        <w:t xml:space="preserve">Enhance Use Phase Efficiency:</w:t>
      </w:r>
      <w:r>
        <w:t xml:space="preserve"> </w:t>
      </w:r>
      <w:r>
        <w:t xml:space="preserve">Invest in R&amp;D to improve the energy efficiency of mszrdyyoni during its operational lifespan. Explore lower power consumption components or intelligent power management features.</w:t>
      </w:r>
    </w:p>
    <w:p>
      <w:pPr>
        <w:numPr>
          <w:ilvl w:val="0"/>
          <w:numId w:val="1023"/>
        </w:numPr>
        <w:pStyle w:val="Compact"/>
      </w:pPr>
      <w:r>
        <w:rPr>
          <w:bCs/>
          <w:b/>
        </w:rPr>
        <w:t xml:space="preserve">Sustainable Material Sourcing:</w:t>
      </w:r>
      <w:r>
        <w:t xml:space="preserve"> </w:t>
      </w:r>
      <w:r>
        <w:t xml:space="preserve">Prioritize suppliers with lower carbon footprints for high-impact materials like aluminum and electronic components. Investigate the feasibility of incorporating more recycled content in product design beyond current levels.</w:t>
      </w:r>
    </w:p>
    <w:p>
      <w:pPr>
        <w:numPr>
          <w:ilvl w:val="0"/>
          <w:numId w:val="1023"/>
        </w:numPr>
        <w:pStyle w:val="Compact"/>
      </w:pPr>
      <w:r>
        <w:rPr>
          <w:bCs/>
          <w:b/>
        </w:rPr>
        <w:t xml:space="preserve">Optimize Logistics:</w:t>
      </w:r>
      <w:r>
        <w:t xml:space="preserve"> </w:t>
      </w:r>
      <w:r>
        <w:t xml:space="preserve">Continuously seek opportunities to optimize transportation routes and modes, particularly for long-distance upstream movements. Explore consolidation of shipments and more efficient downstream delivery options.</w:t>
      </w:r>
    </w:p>
    <w:p>
      <w:pPr>
        <w:numPr>
          <w:ilvl w:val="0"/>
          <w:numId w:val="1023"/>
        </w:numPr>
        <w:pStyle w:val="Compact"/>
      </w:pPr>
      <w:r>
        <w:rPr>
          <w:bCs/>
          <w:b/>
        </w:rPr>
        <w:t xml:space="preserve">Strengthen Circular Economy Initiatives:</w:t>
      </w:r>
      <w:r>
        <w:t xml:space="preserve"> </w:t>
      </w:r>
      <w:r>
        <w:t xml:space="preserve">Expand and promote the existing return and refurbish program. Quantify the benefits of refurbishment to gain additional carbon credits and extend product lifespans. Increase the actual recycling rate of product components at end-of-life.</w:t>
      </w:r>
    </w:p>
    <w:p>
      <w:pPr>
        <w:numPr>
          <w:ilvl w:val="0"/>
          <w:numId w:val="1023"/>
        </w:numPr>
        <w:pStyle w:val="Compact"/>
      </w:pPr>
      <w:r>
        <w:rPr>
          <w:bCs/>
          <w:b/>
        </w:rPr>
        <w:t xml:space="preserve">Increase Renewable Energy Adoption:</w:t>
      </w:r>
      <w:r>
        <w:t xml:space="preserve"> </w:t>
      </w:r>
      <w:r>
        <w:t xml:space="preserve">Increase the percentage of renewable energy used in manufacturing operations in China, beyond the current 30%. This directly reduces Scope 2 emissions.</w:t>
      </w:r>
    </w:p>
    <w:p>
      <w:r>
        <w:pict>
          <v:rect style="width:0;height:1.5pt" o:hralign="center" o:hrstd="t" o:hr="t"/>
        </w:pict>
      </w:r>
    </w:p>
    <w:p>
      <w:pPr>
        <w:pStyle w:val="FirstParagraph"/>
      </w:pPr>
      <w:r>
        <w:t xml:space="preserve">Confidential - Internal Use Only | Page</w:t>
      </w:r>
      <w:r>
        <w:t xml:space="preserve"> </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mszrdyyoni</dc:title>
  <dc:creator/>
  <dc:description>Detailed Product Carbon Footprint (PCF) analysis for mszrdyyoni, adhering to GHG Protocol and 2026 LSR Update, conducted by Senior Sustainability Consultant zgzjxvywxk for xextetjknk.</dc:description>
  <dc:language>en</dc:language>
  <cp:keywords/>
  <dcterms:created xsi:type="dcterms:W3CDTF">2026-07-15T13:33:35Z</dcterms:created>
  <dcterms:modified xsi:type="dcterms:W3CDTF">2026-07-15T13:33:35Z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