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mspelwesdw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mspelwesdw</w:t>
      </w:r>
    </w:p>
    <w:p>
      <w:pPr>
        <w:pStyle w:val="BodyText"/>
      </w:pPr>
      <w:r>
        <w:br/>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zzqxmjgxvu</w:t>
      </w:r>
    </w:p>
    <w:p>
      <w:pPr>
        <w:pStyle w:val="BodyText"/>
      </w:pPr>
      <w:r>
        <w:rPr>
          <w:bCs/>
          <w:b/>
        </w:rPr>
        <w:t xml:space="preserve">Senior Sustainability Consultant:</w:t>
      </w:r>
      <w:r>
        <w:t xml:space="preserve"> </w:t>
      </w:r>
      <w:r>
        <w:t xml:space="preserve">dwvpyzfswi</w:t>
      </w:r>
    </w:p>
    <w:p>
      <w:pPr>
        <w:pStyle w:val="BodyText"/>
      </w:pPr>
      <w:r>
        <w:t xml:space="preserve">Disclaimer: This report is generated based on available data and industry standards. Actual numerical results are illustrative where specific data inputs were provided as abstract placeholders. Comprehensive calculations require precise, quantitative data for all parameters.</w:t>
      </w:r>
    </w:p>
    <w:bookmarkEnd w:id="20"/>
    <w:p>
      <w:pPr>
        <w:pStyle w:val="BodyText"/>
      </w:pPr>
      <w:r>
        <w:t xml:space="preserve">Product Carbon Footprint Analysis for mspelwesdw | Generated Date: May 28, 2026</w:t>
      </w:r>
    </w:p>
    <w:bookmarkStart w:id="36" w:name="Xba8d06d5900593efa6dd7a84df8d7423e04094e"/>
    <w:p>
      <w:pPr>
        <w:pStyle w:val="Heading1"/>
      </w:pPr>
      <w:r>
        <w:t xml:space="preserve">Product Carbon Footprint Analysis: mspelwesdw</w:t>
      </w:r>
    </w:p>
    <w:p>
      <w:pPr>
        <w:pStyle w:val="FirstParagraph"/>
      </w:pPr>
      <w:r>
        <w:rPr>
          <w:bCs/>
          <w:b/>
        </w:rPr>
        <w:t xml:space="preserve">Company Name:</w:t>
      </w:r>
      <w:r>
        <w:t xml:space="preserve"> </w:t>
      </w:r>
      <w:r>
        <w:t xml:space="preserve">zzqxmjgxvu</w:t>
      </w:r>
    </w:p>
    <w:p>
      <w:pPr>
        <w:pStyle w:val="BodyText"/>
      </w:pPr>
      <w:r>
        <w:rPr>
          <w:bCs/>
          <w:b/>
        </w:rPr>
        <w:t xml:space="preserve">Senior Sustainability Consultant:</w:t>
      </w:r>
      <w:r>
        <w:t xml:space="preserve"> </w:t>
      </w:r>
      <w:r>
        <w:t xml:space="preserve">dwvpyzfswi</w:t>
      </w:r>
    </w:p>
    <w:p>
      <w:pPr>
        <w:pStyle w:val="BodyText"/>
      </w:pPr>
      <w:r>
        <w:t xml:space="preserve">This report presents a high-detail Product Carbon Footprint (PCF) analysis for the product mspelwesdw, developed in accordance with the Greenhouse Gas (GHG) Protocol. As Senior Sustainability Consultant, dwvpyzfswi has performed this analysis for zzqxmjgxvu, integrating specific product, logistics, energy, and end-of-life data to provide a comprehensive assessment of its environmental impact. The analysis adheres to the GHG Protocol\'s stringent requirements, including the upcoming 2026 updates for the Land Sector and Removals (LSR) Standard and the 95% coverage rule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mspelwesdw has been assessed across its entire lifecycle, from material acquisition to end-of-life. This analysis identifies key emission hotspots and provides zzqxmjgxvu with actionable insights to reduce the product\'s environmental impact. The methodology strictly follows the GHG Protocol standards, categorizing emissions into Scope 1, 2, and 3, and incorporates the latest 2026 updates, ensuring a robust and future-proof assessment. While specific numerical results are illustrative due to placeholder data inputs, the report outlines the comprehensive framework and data integration strategy for an accurate PCF calculation.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any PCF analysis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 1.0 unit of mspelwesdw.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analysis is designated as "factory_gate" for the primary production assessment. However, in line with comprehensive PCF best practices and user-defined parameters, the analysis extends beyond the factory gate to include upstream (raw material extraction, processing, transport to factory), production, downstream (transport to customer, use phase), and end-of-life scenarios. This cradle-to-grave perspective captures a fuller environmental impact.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distribution channels with significant European components).</w:t>
      </w:r>
    </w:p>
    <w:p>
      <w:pPr>
        <w:numPr>
          <w:ilvl w:val="0"/>
          <w:numId w:val="1001"/>
        </w:numPr>
        <w:pStyle w:val="Compact"/>
      </w:pPr>
      <w:r>
        <w:rPr>
          <w:bCs/>
          <w:b/>
        </w:rPr>
        <w:t xml:space="preserve">Accounting Standard:</w:t>
      </w:r>
      <w:r>
        <w:t xml:space="preserve"> </w:t>
      </w:r>
      <w:r>
        <w:t xml:space="preserve">The analysis rigorously adheres to the GHG Protocol Product Standard. This includes the categorization of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Given that specific co-products or by-products for mspelwesdw were not detailed, a mass-based allocation approach would typically be applied if such scenarios arise, distributing environmental burdens proportionally across products. For direct inputs, a direct attribution approach is used.</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outlines the lifecycle stages of mspelwesdw and details the data collection strategy, emphasizing the specific parameters provided.</w:t>
      </w:r>
    </w:p>
    <w:bookmarkStart w:id="23" w:name="X21daebf6e2e89221eedd09a950314a91b715c95"/>
    <w:p>
      <w:pPr>
        <w:pStyle w:val="Heading3"/>
      </w:pPr>
      <w:r>
        <w:t xml:space="preserve">2.1 Material Acquisition and Pre-processing (Upstream - Scope 3)</w:t>
      </w:r>
    </w:p>
    <w:p>
      <w:pPr>
        <w:pStyle w:val="FirstParagraph"/>
      </w:pPr>
      <w:r>
        <w:t xml:space="preserve">Emissions associated with the extraction, processing, and manufacturing of raw materials are critical components of the product\'s footprint. The provided Detailed Bill of Materials (BOM) for `jimxkmpg` is essential for high-accuracy material impact calculation, overriding default estimates. The BOM data structure would typically be: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 ID 1]</w:t>
            </w:r>
          </w:p>
        </w:tc>
        <w:tc>
          <w:tcPr/>
          <w:p>
            <w:pPr>
              <w:pStyle w:val="Compact"/>
              <w:jc w:val="left"/>
            </w:pPr>
            <w:r>
              <w:t xml:space="preserve">[Material Description 1]</w:t>
            </w:r>
          </w:p>
        </w:tc>
        <w:tc>
          <w:tcPr/>
          <w:p>
            <w:pPr>
              <w:pStyle w:val="Compact"/>
              <w:jc w:val="left"/>
            </w:pPr>
            <w:r>
              <w:t xml:space="preserve">[Material Category 1]</w:t>
            </w:r>
          </w:p>
        </w:tc>
        <w:tc>
          <w:tcPr/>
          <w:p>
            <w:pPr>
              <w:pStyle w:val="Compact"/>
              <w:jc w:val="left"/>
            </w:pPr>
            <w:r>
              <w:t xml:space="preserve">[Manufacturing Process 1]</w:t>
            </w:r>
          </w:p>
        </w:tc>
        <w:tc>
          <w:tcPr/>
          <w:p>
            <w:pPr>
              <w:pStyle w:val="Compact"/>
              <w:jc w:val="left"/>
            </w:pPr>
            <w:r>
              <w:t xml:space="preserve">[jimxkmpg - Qty 1]</w:t>
            </w:r>
          </w:p>
        </w:tc>
        <w:tc>
          <w:tcPr/>
          <w:p>
            <w:pPr>
              <w:pStyle w:val="Compact"/>
              <w:jc w:val="left"/>
            </w:pPr>
            <w:r>
              <w:t xml:space="preserve">[jimxkmpg - Unit 1]</w:t>
            </w:r>
          </w:p>
        </w:tc>
        <w:tc>
          <w:tcPr/>
          <w:p>
            <w:pPr>
              <w:pStyle w:val="Compact"/>
              <w:jc w:val="left"/>
            </w:pPr>
            <w:r>
              <w:t xml:space="preserve">[Emission Factor 1]</w:t>
            </w:r>
          </w:p>
        </w:tc>
        <w:tc>
          <w:tcPr/>
          <w:p>
            <w:pPr>
              <w:pStyle w:val="Compact"/>
              <w:jc w:val="left"/>
            </w:pPr>
            <w:r>
              <w:t xml:space="preserve">[Calculated Total Carbon 1]</w:t>
            </w:r>
          </w:p>
        </w:tc>
      </w:tr>
      <w:tr>
        <w:tc>
          <w:tcPr/>
          <w:p>
            <w:pPr>
              <w:pStyle w:val="Compact"/>
              <w:jc w:val="left"/>
            </w:pPr>
            <w:r>
              <w:t xml:space="preserve">[Item ID 2]</w:t>
            </w:r>
          </w:p>
        </w:tc>
        <w:tc>
          <w:tcPr/>
          <w:p>
            <w:pPr>
              <w:pStyle w:val="Compact"/>
              <w:jc w:val="left"/>
            </w:pPr>
            <w:r>
              <w:t xml:space="preserve">[Material Description 2]</w:t>
            </w:r>
          </w:p>
        </w:tc>
        <w:tc>
          <w:tcPr/>
          <w:p>
            <w:pPr>
              <w:pStyle w:val="Compact"/>
              <w:jc w:val="left"/>
            </w:pPr>
            <w:r>
              <w:t xml:space="preserve">[Material Category 2]</w:t>
            </w:r>
          </w:p>
        </w:tc>
        <w:tc>
          <w:tcPr/>
          <w:p>
            <w:pPr>
              <w:pStyle w:val="Compact"/>
              <w:jc w:val="left"/>
            </w:pPr>
            <w:r>
              <w:t xml:space="preserve">[Manufacturing Process 2]</w:t>
            </w:r>
          </w:p>
        </w:tc>
        <w:tc>
          <w:tcPr/>
          <w:p>
            <w:pPr>
              <w:pStyle w:val="Compact"/>
              <w:jc w:val="left"/>
            </w:pPr>
            <w:r>
              <w:t xml:space="preserve">[jimxkmpg - Qty 2]</w:t>
            </w:r>
          </w:p>
        </w:tc>
        <w:tc>
          <w:tcPr/>
          <w:p>
            <w:pPr>
              <w:pStyle w:val="Compact"/>
              <w:jc w:val="left"/>
            </w:pPr>
            <w:r>
              <w:t xml:space="preserve">[jimxkmpg - Unit 2]</w:t>
            </w:r>
          </w:p>
        </w:tc>
        <w:tc>
          <w:tcPr/>
          <w:p>
            <w:pPr>
              <w:pStyle w:val="Compact"/>
              <w:jc w:val="left"/>
            </w:pPr>
            <w:r>
              <w:t xml:space="preserve">[Emission Factor 2]</w:t>
            </w:r>
          </w:p>
        </w:tc>
        <w:tc>
          <w:tcPr/>
          <w:p>
            <w:pPr>
              <w:pStyle w:val="Compact"/>
              <w:jc w:val="left"/>
            </w:pPr>
            <w:r>
              <w:t xml:space="preserve">[Calculated Total Carbon 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[Sum of Total Carbon]</w:t>
            </w:r>
          </w:p>
        </w:tc>
      </w:tr>
    </w:tbl>
    <w:p>
      <w:pPr>
        <w:pStyle w:val="BodyText"/>
      </w:pPr>
      <w:r>
        <w:rPr>
          <w:iCs/>
          <w:i/>
        </w:rPr>
        <w:t xml:space="preserve">Note: Actual values for Qty, Unit, Emission Factor, and Total Carbon would be populated from the specific `jimxkmpg` data provided. For the purpose of this report, `jimxkmpg` is treated as a placeholder for a structured dataset. Emission factors for these materials would be sourced from databases like Ecoinvent or DEFRA, categorized under Scope 3.</w:t>
      </w:r>
    </w:p>
    <w:bookmarkEnd w:id="23"/>
    <w:bookmarkStart w:id="24" w:name="production-phase-direct---scope-1-2"/>
    <w:p>
      <w:pPr>
        <w:pStyle w:val="Heading3"/>
      </w:pPr>
      <w:r>
        <w:t xml:space="preserve">2.2 Production Phase (Direct - Scope 1 &amp; 2)</w:t>
      </w:r>
    </w:p>
    <w:p>
      <w:pPr>
        <w:pStyle w:val="FirstParagraph"/>
      </w:pPr>
      <w:r>
        <w:t xml:space="preserve">The production phase at the final production country (China) accounts for direct emissions from owned/controlled sources and indirect emissions from purchased energy.</w:t>
      </w:r>
    </w:p>
    <w:p>
      <w:pPr>
        <w:numPr>
          <w:ilvl w:val="0"/>
          <w:numId w:val="1003"/>
        </w:numPr>
        <w:pStyle w:val="Compact"/>
      </w:pPr>
      <w:r>
        <w:rPr>
          <w:bCs/>
          <w:b/>
        </w:rPr>
        <w:t xml:space="preserve">Renewable Energy Usage:</w:t>
      </w:r>
      <w:r>
        <w:t xml:space="preserve"> </w:t>
      </w:r>
      <w:r>
        <w:t xml:space="preserve">`fdrnuttghk`% of energy used in production is from renewable sources. This percentage is crucial for adjusting the emission factor for purchased electricity.</w:t>
      </w:r>
    </w:p>
    <w:p>
      <w:pPr>
        <w:numPr>
          <w:ilvl w:val="0"/>
          <w:numId w:val="1003"/>
        </w:numPr>
        <w:pStyle w:val="Compact"/>
      </w:pPr>
      <w:r>
        <w:rPr>
          <w:bCs/>
          <w:b/>
        </w:rPr>
        <w:t xml:space="preserve">Energy Intensity:</w:t>
      </w:r>
      <w:r>
        <w:t xml:space="preserve"> </w:t>
      </w:r>
      <w:r>
        <w:t xml:space="preserve">`xosonrklrl` kWh/unit is the energy consumed per unit of mspelwesdw produced.</w:t>
      </w:r>
    </w:p>
    <w:p>
      <w:pPr>
        <w:pStyle w:val="FirstParagraph"/>
      </w:pPr>
      <w:r>
        <w:rPr>
          <w:iCs/>
          <w:i/>
        </w:rPr>
        <w:t xml:space="preserve">Example calculation for purchased electricity: The total energy consumed (`xosonrklrl` kWh) would be multiplied by the grid emission factor for China, adjusted by the `fdrnuttghk`% renewable energy usage. Direct fuel combustion at the factory (Scope 1) would also be factored in, if applicable.</w:t>
      </w:r>
    </w:p>
    <w:bookmarkEnd w:id="24"/>
    <w:bookmarkStart w:id="25" w:name="X1465d3a87cbc412930a06f85b3297753391a2e8"/>
    <w:p>
      <w:pPr>
        <w:pStyle w:val="Heading3"/>
      </w:pPr>
      <w:r>
        <w:t xml:space="preserve">2.3 Transport and Distribution (Upstream &amp; Downstream - Scope 3)</w:t>
      </w:r>
    </w:p>
    <w:p>
      <w:pPr>
        <w:pStyle w:val="FirstParagraph"/>
      </w:pPr>
      <w:r>
        <w:t xml:space="preserve">Logistics data is integrated into the supply chain analysis to quantify transport-related emissions.</w:t>
      </w:r>
    </w:p>
    <w:p>
      <w:pPr>
        <w:numPr>
          <w:ilvl w:val="0"/>
          <w:numId w:val="1004"/>
        </w:numPr>
        <w:pStyle w:val="Compact"/>
      </w:pPr>
      <w:r>
        <w:rPr>
          <w:bCs/>
          <w:b/>
        </w:rPr>
        <w:t xml:space="preserve">Transport Mode:</w:t>
      </w:r>
      <w:r>
        <w:t xml:space="preserve"> </w:t>
      </w:r>
      <w:r>
        <w:t xml:space="preserve">`Select Mode` (e.g., Ocean freight, Rail, Road, Air).</w:t>
      </w:r>
    </w:p>
    <w:p>
      <w:pPr>
        <w:numPr>
          <w:ilvl w:val="0"/>
          <w:numId w:val="1004"/>
        </w:numPr>
        <w:pStyle w:val="Compact"/>
      </w:pPr>
      <w:r>
        <w:rPr>
          <w:bCs/>
          <w:b/>
        </w:rPr>
        <w:t xml:space="preserve">Transport Distance:</w:t>
      </w:r>
      <w:r>
        <w:t xml:space="preserve"> </w:t>
      </w:r>
      <w:r>
        <w:t xml:space="preserve">`qpjyttftku` (e.g., km).</w:t>
      </w:r>
    </w:p>
    <w:p>
      <w:pPr>
        <w:numPr>
          <w:ilvl w:val="0"/>
          <w:numId w:val="1004"/>
        </w:numPr>
        <w:pStyle w:val="Compact"/>
      </w:pPr>
      <w:r>
        <w:rPr>
          <w:bCs/>
          <w:b/>
        </w:rPr>
        <w:t xml:space="preserve">Last-Mile Delivery Channel:</w:t>
      </w:r>
      <w:r>
        <w:t xml:space="preserve"> </w:t>
      </w:r>
      <w:r>
        <w:t xml:space="preserve">`Delivery Type` (e.g., Parcel service, Company fleet, Customer pickup).</w:t>
      </w:r>
    </w:p>
    <w:p>
      <w:pPr>
        <w:pStyle w:val="FirstParagraph"/>
      </w:pPr>
      <w:r>
        <w:rPr>
          <w:iCs/>
          <w:i/>
        </w:rPr>
        <w:t xml:space="preserve">Emissions from raw material transport to the factory (upstream) and finished product transport to the customer (downstream) would be calculated using appropriate emission factors for the `Select Mode` over `qpjyttftku` distance. Last-mile delivery via `Delivery Type` would also be included, aligning with the Europe Focused supply chain. These are categorized as Scope 3 emissions.</w:t>
      </w:r>
    </w:p>
    <w:bookmarkEnd w:id="25"/>
    <w:bookmarkStart w:id="26" w:name="use-phase-downstream---scope-3"/>
    <w:p>
      <w:pPr>
        <w:pStyle w:val="Heading3"/>
      </w:pPr>
      <w:r>
        <w:t xml:space="preserve">2.4 Use Phase (Downstream - Scope 3)</w:t>
      </w:r>
    </w:p>
    <w:p>
      <w:pPr>
        <w:pStyle w:val="FirstParagraph"/>
      </w:pPr>
      <w:r>
        <w:t xml:space="preserve">The durability and consumption data are crucial for assessing the environmental impact during the product\'s operational life.</w:t>
      </w:r>
    </w:p>
    <w:p>
      <w:pPr>
        <w:numPr>
          <w:ilvl w:val="0"/>
          <w:numId w:val="1005"/>
        </w:numPr>
        <w:pStyle w:val="Compact"/>
      </w:pPr>
      <w:r>
        <w:rPr>
          <w:bCs/>
          <w:b/>
        </w:rPr>
        <w:t xml:space="preserve">Product Lifespan:</w:t>
      </w:r>
      <w:r>
        <w:t xml:space="preserve"> </w:t>
      </w:r>
      <w:r>
        <w:t xml:space="preserve">`ghltrlxwsk` (e.g., years, cycles, hours).</w:t>
      </w:r>
    </w:p>
    <w:p>
      <w:pPr>
        <w:numPr>
          <w:ilvl w:val="0"/>
          <w:numId w:val="1005"/>
        </w:numPr>
        <w:pStyle w:val="Compact"/>
      </w:pPr>
      <w:r>
        <w:rPr>
          <w:bCs/>
          <w:b/>
        </w:rPr>
        <w:t xml:space="preserve">Energy Consumption in Use:</w:t>
      </w:r>
      <w:r>
        <w:t xml:space="preserve"> </w:t>
      </w:r>
      <w:r>
        <w:t xml:space="preserve">`hxmlnshyoy` (e.g., kWh/year).</w:t>
      </w:r>
    </w:p>
    <w:p>
      <w:pPr>
        <w:pStyle w:val="FirstParagraph"/>
      </w:pPr>
      <w:r>
        <w:rPr>
          <w:iCs/>
          <w:i/>
        </w:rPr>
        <w:t xml:space="preserve">Total energy consumption over the `ghltrlxwsk` lifespan, derived from `hxmlnshyoy` per unit of time, would be multiplied by relevant electricity emission factors (e.g., average grid mix of the use region, if not specified). This is a Scope 3 emission.</w:t>
      </w:r>
    </w:p>
    <w:bookmarkEnd w:id="26"/>
    <w:bookmarkStart w:id="27" w:name="Xbd5ce2581a055ba0d05236edb0e67e8783fa2ac"/>
    <w:p>
      <w:pPr>
        <w:pStyle w:val="Heading3"/>
      </w:pPr>
      <w:r>
        <w:t xml:space="preserve">2.5 End-of-Life (EoL) Scenarios (Downstream - Scope 3)</w:t>
      </w:r>
    </w:p>
    <w:p>
      <w:pPr>
        <w:pStyle w:val="FirstParagraph"/>
      </w:pPr>
      <w:r>
        <w:t xml:space="preserve">Circular economy impacts are reflected by incorporating end-of-life scenarios.</w:t>
      </w:r>
    </w:p>
    <w:p>
      <w:pPr>
        <w:numPr>
          <w:ilvl w:val="0"/>
          <w:numId w:val="1006"/>
        </w:numPr>
        <w:pStyle w:val="Compact"/>
      </w:pPr>
      <w:r>
        <w:rPr>
          <w:bCs/>
          <w:b/>
        </w:rPr>
        <w:t xml:space="preserve">Recyclability Percentage:</w:t>
      </w:r>
      <w:r>
        <w:t xml:space="preserve"> </w:t>
      </w:r>
      <w:r>
        <w:t xml:space="preserve">`xsfedvvhuw`%.</w:t>
      </w:r>
    </w:p>
    <w:p>
      <w:pPr>
        <w:numPr>
          <w:ilvl w:val="0"/>
          <w:numId w:val="1006"/>
        </w:numPr>
        <w:pStyle w:val="Compact"/>
      </w:pPr>
      <w:r>
        <w:rPr>
          <w:bCs/>
          <w:b/>
        </w:rPr>
        <w:t xml:space="preserve">Circular/Take-back Programs:</w:t>
      </w:r>
      <w:r>
        <w:t xml:space="preserve"> </w:t>
      </w:r>
      <w:r>
        <w:t xml:space="preserve">`kvkkijgrdo` (e.g., Yes/No, description of program).</w:t>
      </w:r>
    </w:p>
    <w:p>
      <w:pPr>
        <w:pStyle w:val="FirstParagraph"/>
      </w:pPr>
      <w:r>
        <w:rPr>
          <w:iCs/>
          <w:i/>
        </w:rPr>
        <w:t xml:space="preserve">Emissions from disposal (landfilling, incineration) or benefits from recycling (avoided emissions) would be calculated based on the `xsfedvvhuw`% recyclability. The presence of `kvkkijgrdo` circular/take-back programs could further reduce the EoL footprint through increased recycling rates or material reuse. These are typically Scope 3 emissions.</w:t>
      </w:r>
    </w:p>
    <w:p>
      <w:r>
        <w:pict>
          <v:rect style="width:0;height:1.5pt" o:hralign="center" o:hrstd="t" o:hr="t"/>
        </w:pict>
      </w:r>
    </w:p>
    <w:bookmarkEnd w:id="27"/>
    <w:bookmarkEnd w:id="28"/>
    <w:bookmarkStart w:id="32" w:name="calculate-emissions"/>
    <w:p>
      <w:pPr>
        <w:pStyle w:val="Heading2"/>
      </w:pPr>
      <w:r>
        <w:t xml:space="preserve">4. Calculate Emissions</w:t>
      </w:r>
    </w:p>
    <w:p>
      <w:pPr>
        <w:pStyle w:val="FirstParagraph"/>
      </w:pPr>
      <w:r>
        <w:t xml:space="preserve">Emissions are calculated by multiplying activity data by relevant emission factors. The GHG Protocol classification (Scope 1, 2, 3) is strictly followed, and the 2026 updates are applied.</w:t>
      </w:r>
    </w:p>
    <w:bookmarkStart w:id="29" w:name="ghg-protocol-categorization"/>
    <w:p>
      <w:pPr>
        <w:pStyle w:val="Heading3"/>
      </w:pPr>
      <w:r>
        <w:t xml:space="preserve">4.1 GHG Protocol Categorization</w:t>
      </w:r>
    </w:p>
    <w:p>
      <w:pPr>
        <w:numPr>
          <w:ilvl w:val="0"/>
          <w:numId w:val="1007"/>
        </w:numPr>
        <w:pStyle w:val="Compact"/>
      </w:pPr>
      <w:r>
        <w:rPr>
          <w:bCs/>
          <w:b/>
        </w:rPr>
        <w:t xml:space="preserve">Scope 1: Direct GHG Emissions</w:t>
      </w:r>
      <w:r>
        <w:t xml:space="preserve">: These are emissions from sources owned or controlled by zzqxmjgxvu. In the context of PCF for mspelwesdw, this primarily includes direct fuel combustion in manufacturing operations, process emissions (if any), and company-owned vehicle fleets for internal logistics within the factory gate.</w:t>
      </w:r>
    </w:p>
    <w:p>
      <w:pPr>
        <w:numPr>
          <w:ilvl w:val="0"/>
          <w:numId w:val="1007"/>
        </w:numPr>
        <w:pStyle w:val="Compact"/>
      </w:pPr>
      <w:r>
        <w:rPr>
          <w:bCs/>
          <w:b/>
        </w:rPr>
        <w:t xml:space="preserve">Scope 2: Indirect GHG Emissions from Purchased Energy</w:t>
      </w:r>
      <w:r>
        <w:t xml:space="preserve">: These are emissions from the generation of purchased electricity, heat, or steam consumed by zzqxmjgxvu for manufacturing mspelwesdw. The energy intensity (`xosonrklrl` kWh/unit) and renewable energy usage (`fdrnuttghk`%) for production in China are crucial here.</w:t>
      </w:r>
    </w:p>
    <w:p>
      <w:pPr>
        <w:numPr>
          <w:ilvl w:val="0"/>
          <w:numId w:val="1007"/>
        </w:numPr>
      </w:pPr>
      <w:r>
        <w:rPr>
          <w:bCs/>
          <w:b/>
        </w:rPr>
        <w:t xml:space="preserve">Scope 3: Other Indirect Emissions (Value Chain Emissions)</w:t>
      </w:r>
      <w:r>
        <w:t xml:space="preserve">: These encompass all other indirect emissions occurring in the value chain, both upstream and downstream. For mspelwesdw, this includes:</w:t>
      </w:r>
    </w:p>
    <w:p>
      <w:pPr>
        <w:numPr>
          <w:ilvl w:val="1"/>
          <w:numId w:val="1008"/>
        </w:numPr>
        <w:pStyle w:val="Compact"/>
      </w:pPr>
      <w:r>
        <w:t xml:space="preserve">Purchased goods and services (raw materials, components - from `jimxkmpg`).</w:t>
      </w:r>
    </w:p>
    <w:p>
      <w:pPr>
        <w:numPr>
          <w:ilvl w:val="1"/>
          <w:numId w:val="1008"/>
        </w:numPr>
        <w:pStyle w:val="Compact"/>
      </w:pPr>
      <w:r>
        <w:t xml:space="preserve">Upstream transportation and distribution (transport of `jimxkmpg` materials to the factory).</w:t>
      </w:r>
    </w:p>
    <w:p>
      <w:pPr>
        <w:numPr>
          <w:ilvl w:val="1"/>
          <w:numId w:val="1008"/>
        </w:numPr>
        <w:pStyle w:val="Compact"/>
      </w:pPr>
      <w:r>
        <w:t xml:space="preserve">Downstream transportation and distribution (transport of mspelwesdw to customers, last-mile delivery).</w:t>
      </w:r>
    </w:p>
    <w:p>
      <w:pPr>
        <w:numPr>
          <w:ilvl w:val="1"/>
          <w:numId w:val="1008"/>
        </w:numPr>
        <w:pStyle w:val="Compact"/>
      </w:pPr>
      <w:r>
        <w:t xml:space="preserve">Use of sold products (energy consumption during `ghltrlxwsk` lifespan based on `hxmlnshyoy`).</w:t>
      </w:r>
    </w:p>
    <w:p>
      <w:pPr>
        <w:numPr>
          <w:ilvl w:val="1"/>
          <w:numId w:val="1008"/>
        </w:numPr>
        <w:pStyle w:val="Compact"/>
      </w:pPr>
      <w:r>
        <w:t xml:space="preserve">End-of-life treatment of sold products (disposal/recycling based on `xsfedvvhuw`% and `kvkkijgrdo`).</w:t>
      </w:r>
    </w:p>
    <w:p>
      <w:pPr>
        <w:numPr>
          <w:ilvl w:val="0"/>
          <w:numId w:val="1000"/>
        </w:numPr>
      </w:pPr>
      <w:r>
        <w:rPr>
          <w:bCs/>
          <w:b/>
        </w:rPr>
        <w:t xml:space="preserve">2026 Scope 3 Compliance:</w:t>
      </w:r>
      <w:r>
        <w:t xml:space="preserve"> </w:t>
      </w:r>
      <w:r>
        <w:t xml:space="preserve">As per 2026 requirements, at least 95% coverage for total relevant Scope 3 emissions is ensured for conformance. Exclusions must not exceed 5% and must be quantified, disclosed, and justified.</w:t>
      </w:r>
    </w:p>
    <w:bookmarkEnd w:id="29"/>
    <w:bookmarkStart w:id="30" w:name="X7ef73fe3d39a8d84fae696b42f814aa0d860ec0"/>
    <w:p>
      <w:pPr>
        <w:pStyle w:val="Heading3"/>
      </w:pPr>
      <w:r>
        <w:t xml:space="preserve">4.2 2026 LSR Update: Land Sector and Removals Standard</w:t>
      </w:r>
    </w:p>
    <w:p>
      <w:pPr>
        <w:pStyle w:val="FirstParagraph"/>
      </w:pPr>
      <w:r>
        <w:t xml:space="preserve">The Land Sector and Removals (LSR) Standard, taking effect on January 1, 2027, is applied for land use and carbon removals. Although the full guidance is expected in Q2 2026, the principles of accounting for land management, land use change, biogenic products, and technological CO2 removals are integrated. If any raw materials in `jimxkmpg` (e.g., bio-based materials) or manufacturing processes (e.g., those involving direct air capture, if applicable) fall under the land sector activities or CO2 removal technologies as defined by the LSR Standard, their associated emissions and removals are quantified and reported. This standard provides methods to quantify, report, and track land emissions, CO2 removals, and other key metrics.</w:t>
      </w:r>
    </w:p>
    <w:bookmarkEnd w:id="30"/>
    <w:bookmarkStart w:id="31" w:name="emission-factor-application"/>
    <w:p>
      <w:pPr>
        <w:pStyle w:val="Heading3"/>
      </w:pPr>
      <w:r>
        <w:t xml:space="preserve">4.3 Emission Factor Application</w:t>
      </w:r>
    </w:p>
    <w:p>
      <w:pPr>
        <w:pStyle w:val="FirstParagraph"/>
      </w:pPr>
      <w:r>
        <w:t xml:space="preserve">Industry-standard emission factors from reputable databases such as Ecoinvent and DEFRA are utilized for calculation. Ecoinvent offers comprehensive Life Cycle Inventory (LCI) data across various materials and processes. DEFRA factors, published by the UK government, provide official carbon conversion values for activity data, including Scope 1, 2, and 3 emissions.</w:t>
      </w:r>
    </w:p>
    <w:p>
      <w:pPr>
        <w:pStyle w:val="BodyText"/>
      </w:pPr>
      <w:r>
        <w:rPr>
          <w:bCs/>
          <w:b/>
        </w:rPr>
        <w:t xml:space="preserve">Example Calculation Principle:</w:t>
      </w:r>
    </w:p>
    <w:p>
      <w:pPr>
        <w:pStyle w:val="BodyText"/>
      </w:pPr>
      <w:r>
        <w:rPr>
          <w:rStyle w:val="VerbatimChar"/>
        </w:rPr>
        <w:t xml:space="preserve">Activity Data × Emission Factor = CO2e</w:t>
      </w:r>
    </w:p>
    <w:p>
      <w:pPr>
        <w:numPr>
          <w:ilvl w:val="0"/>
          <w:numId w:val="1009"/>
        </w:numPr>
        <w:pStyle w:val="Compact"/>
      </w:pPr>
      <w:r>
        <w:rPr>
          <w:bCs/>
          <w:b/>
        </w:rPr>
        <w:t xml:space="preserve">Materials:</w:t>
      </w:r>
      <w:r>
        <w:t xml:space="preserve"> </w:t>
      </w:r>
      <w:r>
        <w:t xml:space="preserve">Quantity of each material from `jimxkmpg` (e.g., kg of steel) multiplied by its specific emission factor (e.g., kg CO2e/kg steel) from Ecoinvent.</w:t>
      </w:r>
    </w:p>
    <w:p>
      <w:pPr>
        <w:numPr>
          <w:ilvl w:val="0"/>
          <w:numId w:val="1009"/>
        </w:numPr>
        <w:pStyle w:val="Compact"/>
      </w:pPr>
      <w:r>
        <w:rPr>
          <w:bCs/>
          <w:b/>
        </w:rPr>
        <w:t xml:space="preserve">Production Energy:</w:t>
      </w:r>
      <w:r>
        <w:t xml:space="preserve"> </w:t>
      </w:r>
      <w:r>
        <w:t xml:space="preserve">Total kWh consumed at the factory, adjusted for renewable energy usage, multiplied by China\'s grid electricity emission factor (kg CO2e/kWh).</w:t>
      </w:r>
    </w:p>
    <w:p>
      <w:pPr>
        <w:numPr>
          <w:ilvl w:val="0"/>
          <w:numId w:val="1009"/>
        </w:numPr>
        <w:pStyle w:val="Compact"/>
      </w:pPr>
      <w:r>
        <w:rPr>
          <w:bCs/>
          <w:b/>
        </w:rPr>
        <w:t xml:space="preserve">Transport:</w:t>
      </w:r>
      <w:r>
        <w:t xml:space="preserve"> </w:t>
      </w:r>
      <w:r>
        <w:t xml:space="preserve">Ton-kilometer (tkm) or vehicle-kilometer (vkm) for each transport leg (`Select Mode`, `qpjyttftku`) multiplied by respective transport mode emission factors (e.g., kg CO2e/tkm for ocean freight).</w:t>
      </w:r>
    </w:p>
    <w:p>
      <w:pPr>
        <w:numPr>
          <w:ilvl w:val="0"/>
          <w:numId w:val="1009"/>
        </w:numPr>
        <w:pStyle w:val="Compact"/>
      </w:pPr>
      <w:r>
        <w:rPr>
          <w:bCs/>
          <w:b/>
        </w:rPr>
        <w:t xml:space="preserve">Use Phase:</w:t>
      </w:r>
      <w:r>
        <w:t xml:space="preserve"> </w:t>
      </w:r>
      <w:r>
        <w:t xml:space="preserve">Total energy (kWh) consumed over lifespan multiplied by electricity emission factor for typical usage region.</w:t>
      </w:r>
    </w:p>
    <w:p>
      <w:pPr>
        <w:numPr>
          <w:ilvl w:val="0"/>
          <w:numId w:val="1009"/>
        </w:numPr>
        <w:pStyle w:val="Compact"/>
      </w:pPr>
      <w:r>
        <w:rPr>
          <w:bCs/>
          <w:b/>
        </w:rPr>
        <w:t xml:space="preserve">End-of-Life:</w:t>
      </w:r>
      <w:r>
        <w:t xml:space="preserve"> </w:t>
      </w:r>
      <w:r>
        <w:t xml:space="preserve">Mass of disposed/recycled material multiplied by relevant EoL emission/credit factors.</w:t>
      </w:r>
    </w:p>
    <w:p>
      <w:r>
        <w:pict>
          <v:rect style="width:0;height:1.5pt" o:hralign="center" o:hrstd="t" o:hr="t"/>
        </w:pict>
      </w:r>
    </w:p>
    <w:bookmarkEnd w:id="31"/>
    <w:bookmarkEnd w:id="32"/>
    <w:bookmarkStart w:id="35" w:name="review-report"/>
    <w:p>
      <w:pPr>
        <w:pStyle w:val="Heading2"/>
      </w:pPr>
      <w:r>
        <w:t xml:space="preserve">5. Review &amp; Report</w:t>
      </w:r>
    </w:p>
    <w:bookmarkStart w:id="33" w:name="hotspots-and-reliability"/>
    <w:p>
      <w:pPr>
        <w:pStyle w:val="Heading3"/>
      </w:pPr>
      <w:r>
        <w:t xml:space="preserve">5.1 Hotspots and Reliability</w:t>
      </w:r>
    </w:p>
    <w:p>
      <w:pPr>
        <w:pStyle w:val="FirstParagraph"/>
      </w:pPr>
      <w:r>
        <w:t xml:space="preserve">A critical step is to identify emission hotspots, which are the lifecycle stages or components contributing most significantly to the product\'s overall carbon footprint. Based on the structure of mspelwesdw, potential hotspots often include:</w:t>
      </w:r>
    </w:p>
    <w:p>
      <w:pPr>
        <w:numPr>
          <w:ilvl w:val="0"/>
          <w:numId w:val="1010"/>
        </w:numPr>
        <w:pStyle w:val="Compact"/>
      </w:pPr>
      <w:r>
        <w:rPr>
          <w:bCs/>
          <w:b/>
        </w:rPr>
        <w:t xml:space="preserve">Material Acquisition and Processing:</w:t>
      </w:r>
      <w:r>
        <w:t xml:space="preserve"> </w:t>
      </w:r>
      <w:r>
        <w:t xml:space="preserve">Especially for energy-intensive materials or those with complex supply chains (derived from `jimxkmpg` analysis).</w:t>
      </w:r>
    </w:p>
    <w:p>
      <w:pPr>
        <w:numPr>
          <w:ilvl w:val="0"/>
          <w:numId w:val="1010"/>
        </w:numPr>
        <w:pStyle w:val="Compact"/>
      </w:pPr>
      <w:r>
        <w:rPr>
          <w:bCs/>
          <w:b/>
        </w:rPr>
        <w:t xml:space="preserve">Use Phase:</w:t>
      </w:r>
      <w:r>
        <w:t xml:space="preserve"> </w:t>
      </w:r>
      <w:r>
        <w:t xml:space="preserve">If the product has a long lifespan and significant energy consumption during use (`ghltrlxwsk` and `hxmlnshyoy`).</w:t>
      </w:r>
    </w:p>
    <w:p>
      <w:pPr>
        <w:numPr>
          <w:ilvl w:val="0"/>
          <w:numId w:val="1010"/>
        </w:numPr>
        <w:pStyle w:val="Compact"/>
      </w:pPr>
      <w:r>
        <w:rPr>
          <w:bCs/>
          <w:b/>
        </w:rPr>
        <w:t xml:space="preserve">Transportation:</w:t>
      </w:r>
      <w:r>
        <w:t xml:space="preserve"> </w:t>
      </w:r>
      <w:r>
        <w:t xml:space="preserve">Particularly for long distances (`qpjyttftku`) or inefficient modes (`Select Mode`) between China and Europe.</w:t>
      </w:r>
    </w:p>
    <w:p>
      <w:pPr>
        <w:pStyle w:val="FirstParagraph"/>
      </w:pPr>
      <w:r>
        <w:t xml:space="preserve">The reliability of the data is assessed by noting the source (primary vs. secondary), age, and geographic specificity of the emission factors. Where primary data is unavailable (e.g., for specific `jimxkmpg` supplier processes), high-quality secondary data from Ecoinvent or DEFRA is used and clearly documented. The 2026 Scope 3 update\'s focus on data disaggregation by source type will further enhance transparency regarding data quality.</w:t>
      </w:r>
    </w:p>
    <w:bookmarkEnd w:id="33"/>
    <w:bookmarkStart w:id="34" w:name="key-insights-and-recommendations"/>
    <w:p>
      <w:pPr>
        <w:pStyle w:val="Heading3"/>
      </w:pPr>
      <w:r>
        <w:t xml:space="preserve">5.2 Key Insights and Recommendations</w:t>
      </w:r>
    </w:p>
    <w:p>
      <w:pPr>
        <w:pStyle w:val="FirstParagraph"/>
      </w:pPr>
      <w:r>
        <w:t xml:space="preserve">Based on a hypothetical analysis of the provided parameters:</w:t>
      </w:r>
    </w:p>
    <w:p>
      <w:pPr>
        <w:numPr>
          <w:ilvl w:val="0"/>
          <w:numId w:val="1011"/>
        </w:numPr>
        <w:pStyle w:val="Compact"/>
      </w:pPr>
      <w:r>
        <w:rPr>
          <w:bCs/>
          <w:b/>
        </w:rPr>
        <w:t xml:space="preserve">Material Optimization:</w:t>
      </w:r>
      <w:r>
        <w:t xml:space="preserve"> </w:t>
      </w:r>
      <w:r>
        <w:t xml:space="preserve">Review the Bill of Materials (`jimxkmpg`) to identify high-impact materials. Explore opportunities for material substitution with lower-carbon alternatives, lightweighting, or increasing recycled content, aligning with circular economy principles.</w:t>
      </w:r>
    </w:p>
    <w:p>
      <w:pPr>
        <w:numPr>
          <w:ilvl w:val="0"/>
          <w:numId w:val="1011"/>
        </w:numPr>
        <w:pStyle w:val="Compact"/>
      </w:pPr>
      <w:r>
        <w:rPr>
          <w:bCs/>
          <w:b/>
        </w:rPr>
        <w:t xml:space="preserve">Energy Efficiency in Production:</w:t>
      </w:r>
      <w:r>
        <w:t xml:space="preserve"> </w:t>
      </w:r>
      <w:r>
        <w:t xml:space="preserve">Given China as the production country and `fdrnuttghk` renewable energy usage, further increasing renewable energy procurement or on-site generation can significantly reduce Scope 2 emissions. Optimizing `xosonrklrl` kWh/unit energy intensity is also crucial.</w:t>
      </w:r>
    </w:p>
    <w:p>
      <w:pPr>
        <w:numPr>
          <w:ilvl w:val="0"/>
          <w:numId w:val="1011"/>
        </w:numPr>
        <w:pStyle w:val="Compact"/>
      </w:pPr>
      <w:r>
        <w:rPr>
          <w:bCs/>
          <w:b/>
        </w:rPr>
        <w:t xml:space="preserve">Logistics Streamlining:</w:t>
      </w:r>
      <w:r>
        <w:t xml:space="preserve"> </w:t>
      </w:r>
      <w:r>
        <w:t xml:space="preserve">Evaluate the `Select Mode` of transport and `qpjyttftku` distance. Prioritize more efficient modes (e.g., rail over air for Europe-focused supply chain) and optimize routes to reduce fuel consumption and associated Scope 3 emissions. Implement efficient `Delivery Type` for last-mile.</w:t>
      </w:r>
    </w:p>
    <w:p>
      <w:pPr>
        <w:numPr>
          <w:ilvl w:val="0"/>
          <w:numId w:val="1011"/>
        </w:numPr>
        <w:pStyle w:val="Compact"/>
      </w:pPr>
      <w:r>
        <w:rPr>
          <w:bCs/>
          <w:b/>
        </w:rPr>
        <w:t xml:space="preserve">Extended Product Lifespan &amp; Energy Efficiency in Use:</w:t>
      </w:r>
      <w:r>
        <w:t xml:space="preserve"> </w:t>
      </w:r>
      <w:r>
        <w:t xml:space="preserve">Given `ghltrlxwsk` lifespan and `hxmlnshyoy` energy in use, focus on improving the product\'s energy efficiency and durability to reduce lifetime emissions. Providing users with guidance on efficient product use can also contribute.</w:t>
      </w:r>
    </w:p>
    <w:p>
      <w:pPr>
        <w:numPr>
          <w:ilvl w:val="0"/>
          <w:numId w:val="1011"/>
        </w:numPr>
        <w:pStyle w:val="Compact"/>
      </w:pPr>
      <w:r>
        <w:rPr>
          <w:bCs/>
          <w:b/>
        </w:rPr>
        <w:t xml:space="preserve">Enhance Circularity:</w:t>
      </w:r>
      <w:r>
        <w:t xml:space="preserve"> </w:t>
      </w:r>
      <w:r>
        <w:t xml:space="preserve">Leverage the `xsfedvvhuw`% recyclability and `kvkkijgrdo` circular/take-back programs. Expand these programs, ensure high collection and actual recycling rates, and explore opportunities for material reuse or remanufacturing to close material loops and minimize EoL emissions and maximize avoided impacts.</w:t>
      </w:r>
    </w:p>
    <w:p>
      <w:pPr>
        <w:numPr>
          <w:ilvl w:val="0"/>
          <w:numId w:val="1011"/>
        </w:numPr>
        <w:pStyle w:val="Compact"/>
      </w:pPr>
      <w:r>
        <w:rPr>
          <w:bCs/>
          <w:b/>
        </w:rPr>
        <w:t xml:space="preserve">GHG Protocol Alignment:</w:t>
      </w:r>
      <w:r>
        <w:t xml:space="preserve"> </w:t>
      </w:r>
      <w:r>
        <w:t xml:space="preserve">Continue to collect primary data from suppliers to meet the 95% Scope 3 coverage rule and improve data accuracy. Prepare for the full implementation of the LSR Standard by identifying and quantifying land-related emissions and removals in the value chain.</w:t>
      </w:r>
    </w:p>
    <w:p>
      <w:r>
        <w:pict>
          <v:rect style="width:0;height:1.5pt" o:hralign="center" o:hrstd="t" o:hr="t"/>
        </w:pict>
      </w:r>
    </w:p>
    <w:p>
      <w:pPr>
        <w:pStyle w:val="FirstParagraph"/>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mspelwesdw</dc:title>
  <dc:creator/>
  <dc:description>High-detail Product Carbon Footprint (PCF) analysis for mspelwesdw, conducted by dwvpyzfswi of zzqxmjgxvu, adhering to GHG Protocol standards and 2026 updates.</dc:description>
  <dc:language>en</dc:language>
  <cp:keywords/>
  <dcterms:created xsi:type="dcterms:W3CDTF">2026-05-30T18:31:18Z</dcterms:created>
  <dcterms:modified xsi:type="dcterms:W3CDTF">2026-05-30T18:31:18Z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