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mspelwesdw</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for product:</w:t>
      </w:r>
      <w:r>
        <w:t xml:space="preserve"> </w:t>
      </w:r>
      <w:r>
        <w:rPr>
          <w:bCs/>
          <w:b/>
        </w:rPr>
        <w:t xml:space="preserve">mspelwesdw</w:t>
      </w:r>
    </w:p>
    <w:p>
      <w:pPr>
        <w:pStyle w:val="BodyText"/>
      </w:pPr>
      <w:r>
        <w:br/>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zzqxmjgxvu</w:t>
      </w:r>
    </w:p>
    <w:p>
      <w:pPr>
        <w:pStyle w:val="BodyText"/>
      </w:pPr>
      <w:r>
        <w:rPr>
          <w:bCs/>
          <w:b/>
        </w:rPr>
        <w:t xml:space="preserve">Senior Sustainability Consultant:</w:t>
      </w:r>
      <w:r>
        <w:t xml:space="preserve"> </w:t>
      </w:r>
      <w:r>
        <w:t xml:space="preserve">dwvpyzfswi</w:t>
      </w:r>
    </w:p>
    <w:p>
      <w:pPr>
        <w:pStyle w:val="BodyText"/>
      </w:pPr>
      <w:r>
        <w:t xml:space="preserve">Disclaimer: This report is generated based on available data and industry standards. Actual numerical results are illustrative where specific data inputs were provided as abstract placeholders. Comprehensive calculations require precise, quantitative data for all parameters.</w:t>
      </w:r>
    </w:p>
    <w:bookmarkEnd w:id="20"/>
    <w:p>
      <w:pPr>
        <w:pStyle w:val="BodyText"/>
      </w:pPr>
      <w:r>
        <w:t xml:space="preserve">Product Carbon Footprint Analysis for mspelwesdw | Generated Date: May 28, 2026</w:t>
      </w:r>
    </w:p>
    <w:bookmarkStart w:id="36" w:name="Xba8d06d5900593efa6dd7a84df8d7423e04094e"/>
    <w:p>
      <w:pPr>
        <w:pStyle w:val="Heading1"/>
      </w:pPr>
      <w:r>
        <w:t xml:space="preserve">Product Carbon Footprint Analysis: mspelwesdw</w:t>
      </w:r>
    </w:p>
    <w:p>
      <w:pPr>
        <w:pStyle w:val="FirstParagraph"/>
      </w:pPr>
      <w:r>
        <w:rPr>
          <w:bCs/>
          <w:b/>
        </w:rPr>
        <w:t xml:space="preserve">Company Name:</w:t>
      </w:r>
      <w:r>
        <w:t xml:space="preserve"> </w:t>
      </w:r>
      <w:r>
        <w:t xml:space="preserve">zzqxmjgxvu</w:t>
      </w:r>
    </w:p>
    <w:p>
      <w:pPr>
        <w:pStyle w:val="BodyText"/>
      </w:pPr>
      <w:r>
        <w:rPr>
          <w:bCs/>
          <w:b/>
        </w:rPr>
        <w:t xml:space="preserve">Senior Sustainability Consultant:</w:t>
      </w:r>
      <w:r>
        <w:t xml:space="preserve"> </w:t>
      </w:r>
      <w:r>
        <w:t xml:space="preserve">dwvpyzfswi</w:t>
      </w:r>
    </w:p>
    <w:p>
      <w:pPr>
        <w:pStyle w:val="BodyText"/>
      </w:pPr>
      <w:r>
        <w:t xml:space="preserve">This report presents a high-detail Product Carbon Footprint (PCF) analysis for the product mspelwesdw, developed in accordance with the Greenhouse Gas (GHG) Protocol. As Senior Sustainability Consultant, dwvpyzfswi has performed this analysis for zzqxmjgxvu, integrating specific product, logistics, energy, and end-of-life data to provide a comprehensive assessment of its environmental impact. The analysis adheres to the GHG Protocol\'s stringent requirements, including the upcoming 2026 updates for the Land Sector and Removals (LSR) Standard and the 95% coverage rule for Scope 3 emissions.</w:t>
      </w:r>
    </w:p>
    <w:p>
      <w:r>
        <w:pict>
          <v:rect style="width:0;height:1.5pt" o:hralign="center" o:hrstd="t" o:hr="t"/>
        </w:pict>
      </w:r>
    </w:p>
    <w:bookmarkStart w:id="21" w:name="executive-summary"/>
    <w:p>
      <w:pPr>
        <w:pStyle w:val="Heading2"/>
      </w:pPr>
      <w:r>
        <w:t xml:space="preserve">Executive Summary</w:t>
      </w:r>
    </w:p>
    <w:p>
      <w:pPr>
        <w:pStyle w:val="FirstParagraph"/>
      </w:pPr>
      <w:r>
        <w:t xml:space="preserve">The Product Carbon Footprint (PCF) for mspelwesdw has been assessed across its entire lifecycle, from material acquisition to end-of-life. This analysis identifies key emission hotspots and provides zzqxmjgxvu with actionable insights to reduce the product\'s environmental impact. The methodology strictly follows the GHG Protocol standards, categorizing emissions into Scope 1, 2, and 3, and incorporates the latest 2026 updates, ensuring a robust and future-proof assessment. While specific numerical results are illustrative due to placeholder data inputs, the report outlines the comprehensive framework and data integration strategy for an accurate PCF calculation.</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first step in any PCF analysis is to clearly define the boundaries and parameters of the study. This ensures consistency and comparability of results.</w:t>
      </w:r>
    </w:p>
    <w:p>
      <w:pPr>
        <w:numPr>
          <w:ilvl w:val="0"/>
          <w:numId w:val="1001"/>
        </w:numPr>
        <w:pStyle w:val="Compact"/>
      </w:pPr>
      <w:r>
        <w:rPr>
          <w:bCs/>
          <w:b/>
        </w:rPr>
        <w:t xml:space="preserve">Functional Unit:</w:t>
      </w:r>
      <w:r>
        <w:t xml:space="preserve"> </w:t>
      </w:r>
      <w:r>
        <w:t xml:space="preserve">The functional unit for this analysis is defined as 1.0 unit of mspelwesdw. This unit serves as the reference basis for all quantified environmental impacts.</w:t>
      </w:r>
    </w:p>
    <w:p>
      <w:pPr>
        <w:numPr>
          <w:ilvl w:val="0"/>
          <w:numId w:val="1001"/>
        </w:numPr>
        <w:pStyle w:val="Compact"/>
      </w:pPr>
      <w:r>
        <w:rPr>
          <w:bCs/>
          <w:b/>
        </w:rPr>
        <w:t xml:space="preserve">System Boundary:</w:t>
      </w:r>
      <w:r>
        <w:t xml:space="preserve"> </w:t>
      </w:r>
      <w:r>
        <w:t xml:space="preserve">The system boundary for this analysis is designated as "factory_gate" for the primary production assessment. However, in line with comprehensive PCF best practices and user-defined parameters, the analysis extends beyond the factory gate to include upstream (raw material extraction, processing, transport to factory), production, downstream (transport to customer, use phase), and end-of-life scenarios. This cradle-to-grave perspective captures a fuller environmental impact.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material sourcing and/or distribution channels with significant European components).</w:t>
      </w:r>
    </w:p>
    <w:p>
      <w:pPr>
        <w:numPr>
          <w:ilvl w:val="0"/>
          <w:numId w:val="1001"/>
        </w:numPr>
        <w:pStyle w:val="Compact"/>
      </w:pPr>
      <w:r>
        <w:rPr>
          <w:bCs/>
          <w:b/>
        </w:rPr>
        <w:t xml:space="preserve">Accounting Standard:</w:t>
      </w:r>
      <w:r>
        <w:t xml:space="preserve"> </w:t>
      </w:r>
      <w:r>
        <w:t xml:space="preserve">The analysis rigorously adheres to the GHG Protocol Product Standard. This includes the categorization of emissions into Scope 1 (direct emissions), Scope 2 (indirect emissions from purchased energy), and Scope 3 (all other indirect emissions across the value chain).</w:t>
      </w:r>
    </w:p>
    <w:p>
      <w:pPr>
        <w:numPr>
          <w:ilvl w:val="0"/>
          <w:numId w:val="1001"/>
        </w:numPr>
        <w:pStyle w:val="Compact"/>
      </w:pPr>
      <w:r>
        <w:rPr>
          <w:bCs/>
          <w:b/>
        </w:rPr>
        <w:t xml:space="preserve">Allocation:</w:t>
      </w:r>
      <w:r>
        <w:t xml:space="preserve"> </w:t>
      </w:r>
      <w:r>
        <w:t xml:space="preserve">Given that specific co-products or by-products for mspelwesdw were not detailed, a mass-based allocation approach would typically be applied if such scenarios arise, distributing environmental burdens proportionally across products. For direct inputs, a direct attribution approach is used.</w:t>
      </w:r>
    </w:p>
    <w:p>
      <w:r>
        <w:pict>
          <v:rect style="width:0;height:1.5pt" o:hralign="center" o:hrstd="t" o:hr="t"/>
        </w:pict>
      </w:r>
    </w:p>
    <w:bookmarkEnd w:id="22"/>
    <w:bookmarkStart w:id="28" w:name="map-lifecycle-3.-collect-data"/>
    <w:p>
      <w:pPr>
        <w:pStyle w:val="Heading2"/>
      </w:pPr>
      <w:r>
        <w:t xml:space="preserve">2. Map Lifecycle &amp; 3. Collect Data</w:t>
      </w:r>
    </w:p>
    <w:p>
      <w:pPr>
        <w:pStyle w:val="FirstParagraph"/>
      </w:pPr>
      <w:r>
        <w:t xml:space="preserve">This section outlines the lifecycle stages of mspelwesdw and details the data collection strategy, emphasizing the specific parameters provided.</w:t>
      </w:r>
    </w:p>
    <w:bookmarkStart w:id="23" w:name="X21daebf6e2e89221eedd09a950314a91b715c95"/>
    <w:p>
      <w:pPr>
        <w:pStyle w:val="Heading3"/>
      </w:pPr>
      <w:r>
        <w:t xml:space="preserve">2.1 Material Acquisition and Pre-processing (Upstream - Scope 3)</w:t>
      </w:r>
    </w:p>
    <w:p>
      <w:pPr>
        <w:pStyle w:val="FirstParagraph"/>
      </w:pPr>
      <w:r>
        <w:t xml:space="preserve">Emissions associated with the extraction, processing, and manufacturing of raw materials are critical components of the product\'s footprint. The provided Detailed Bill of Materials (BOM) for `jimxkmpg` is essential for high-accuracy material impact calculation, overriding default estimates. The BOM data structure would typically be: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[Item ID 1]</w:t>
            </w:r>
          </w:p>
        </w:tc>
        <w:tc>
          <w:tcPr/>
          <w:p>
            <w:pPr>
              <w:pStyle w:val="Compact"/>
              <w:jc w:val="left"/>
            </w:pPr>
            <w:r>
              <w:t xml:space="preserve">[Material Description 1]</w:t>
            </w:r>
          </w:p>
        </w:tc>
        <w:tc>
          <w:tcPr/>
          <w:p>
            <w:pPr>
              <w:pStyle w:val="Compact"/>
              <w:jc w:val="left"/>
            </w:pPr>
            <w:r>
              <w:t xml:space="preserve">[Material Category 1]</w:t>
            </w:r>
          </w:p>
        </w:tc>
        <w:tc>
          <w:tcPr/>
          <w:p>
            <w:pPr>
              <w:pStyle w:val="Compact"/>
              <w:jc w:val="left"/>
            </w:pPr>
            <w:r>
              <w:t xml:space="preserve">[Manufacturing Process 1]</w:t>
            </w:r>
          </w:p>
        </w:tc>
        <w:tc>
          <w:tcPr/>
          <w:p>
            <w:pPr>
              <w:pStyle w:val="Compact"/>
              <w:jc w:val="left"/>
            </w:pPr>
            <w:r>
              <w:t xml:space="preserve">[jimxkmpg - Qty 1]</w:t>
            </w:r>
          </w:p>
        </w:tc>
        <w:tc>
          <w:tcPr/>
          <w:p>
            <w:pPr>
              <w:pStyle w:val="Compact"/>
              <w:jc w:val="left"/>
            </w:pPr>
            <w:r>
              <w:t xml:space="preserve">[jimxkmpg - Unit 1]</w:t>
            </w:r>
          </w:p>
        </w:tc>
        <w:tc>
          <w:tcPr/>
          <w:p>
            <w:pPr>
              <w:pStyle w:val="Compact"/>
              <w:jc w:val="left"/>
            </w:pPr>
            <w:r>
              <w:t xml:space="preserve">[Emission Factor 1]</w:t>
            </w:r>
          </w:p>
        </w:tc>
        <w:tc>
          <w:tcPr/>
          <w:p>
            <w:pPr>
              <w:pStyle w:val="Compact"/>
              <w:jc w:val="left"/>
            </w:pPr>
            <w:r>
              <w:t xml:space="preserve">[Calculated Total Carbon 1]</w:t>
            </w:r>
          </w:p>
        </w:tc>
      </w:tr>
      <w:tr>
        <w:tc>
          <w:tcPr/>
          <w:p>
            <w:pPr>
              <w:pStyle w:val="Compact"/>
              <w:jc w:val="left"/>
            </w:pPr>
            <w:r>
              <w:t xml:space="preserve">[Item ID 2]</w:t>
            </w:r>
          </w:p>
        </w:tc>
        <w:tc>
          <w:tcPr/>
          <w:p>
            <w:pPr>
              <w:pStyle w:val="Compact"/>
              <w:jc w:val="left"/>
            </w:pPr>
            <w:r>
              <w:t xml:space="preserve">[Material Description 2]</w:t>
            </w:r>
          </w:p>
        </w:tc>
        <w:tc>
          <w:tcPr/>
          <w:p>
            <w:pPr>
              <w:pStyle w:val="Compact"/>
              <w:jc w:val="left"/>
            </w:pPr>
            <w:r>
              <w:t xml:space="preserve">[Material Category 2]</w:t>
            </w:r>
          </w:p>
        </w:tc>
        <w:tc>
          <w:tcPr/>
          <w:p>
            <w:pPr>
              <w:pStyle w:val="Compact"/>
              <w:jc w:val="left"/>
            </w:pPr>
            <w:r>
              <w:t xml:space="preserve">[Manufacturing Process 2]</w:t>
            </w:r>
          </w:p>
        </w:tc>
        <w:tc>
          <w:tcPr/>
          <w:p>
            <w:pPr>
              <w:pStyle w:val="Compact"/>
              <w:jc w:val="left"/>
            </w:pPr>
            <w:r>
              <w:t xml:space="preserve">[jimxkmpg - Qty 2]</w:t>
            </w:r>
          </w:p>
        </w:tc>
        <w:tc>
          <w:tcPr/>
          <w:p>
            <w:pPr>
              <w:pStyle w:val="Compact"/>
              <w:jc w:val="left"/>
            </w:pPr>
            <w:r>
              <w:t xml:space="preserve">[jimxkmpg - Unit 2]</w:t>
            </w:r>
          </w:p>
        </w:tc>
        <w:tc>
          <w:tcPr/>
          <w:p>
            <w:pPr>
              <w:pStyle w:val="Compact"/>
              <w:jc w:val="left"/>
            </w:pPr>
            <w:r>
              <w:t xml:space="preserve">[Emission Factor 2]</w:t>
            </w:r>
          </w:p>
        </w:tc>
        <w:tc>
          <w:tcPr/>
          <w:p>
            <w:pPr>
              <w:pStyle w:val="Compact"/>
              <w:jc w:val="left"/>
            </w:pPr>
            <w:r>
              <w:t xml:space="preserve">[Calculated Total Carbon 2]</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[Sum of Total Carbon]</w:t>
            </w:r>
          </w:p>
        </w:tc>
      </w:tr>
    </w:tbl>
    <w:p>
      <w:pPr>
        <w:pStyle w:val="BodyText"/>
      </w:pPr>
      <w:r>
        <w:rPr>
          <w:iCs/>
          <w:i/>
        </w:rPr>
        <w:t xml:space="preserve">Note: Actual values for Qty, Unit, Emission Factor, and Total Carbon would be populated from the specific `jimxkmpg` data provided. For the purpose of this report, `jimxkmpg` is treated as a placeholder for a structured dataset. Emission factors for these materials would be sourced from databases like Ecoinvent or DEFRA, categorized under Scope 3.</w:t>
      </w:r>
    </w:p>
    <w:bookmarkEnd w:id="23"/>
    <w:bookmarkStart w:id="24" w:name="production-phase-direct---scope-1-2"/>
    <w:p>
      <w:pPr>
        <w:pStyle w:val="Heading3"/>
      </w:pPr>
      <w:r>
        <w:t xml:space="preserve">2.2 Production Phase (Direct - Scope 1 &amp; 2)</w:t>
      </w:r>
    </w:p>
    <w:p>
      <w:pPr>
        <w:pStyle w:val="FirstParagraph"/>
      </w:pPr>
      <w:r>
        <w:t xml:space="preserve">The production phase at the final production country (China) accounts for direct emissions from owned/controlled sources and indirect emissions from purchased energy.</w:t>
      </w:r>
    </w:p>
    <w:p>
      <w:pPr>
        <w:numPr>
          <w:ilvl w:val="0"/>
          <w:numId w:val="1003"/>
        </w:numPr>
        <w:pStyle w:val="Compact"/>
      </w:pPr>
      <w:r>
        <w:rPr>
          <w:bCs/>
          <w:b/>
        </w:rPr>
        <w:t xml:space="preserve">Renewable Energy Usage:</w:t>
      </w:r>
      <w:r>
        <w:t xml:space="preserve"> </w:t>
      </w:r>
      <w:r>
        <w:t xml:space="preserve">`fdrnuttghk`% of energy used in production is from renewable sources. This percentage is crucial for adjusting the emission factor for purchased electricity.</w:t>
      </w:r>
    </w:p>
    <w:p>
      <w:pPr>
        <w:numPr>
          <w:ilvl w:val="0"/>
          <w:numId w:val="1003"/>
        </w:numPr>
        <w:pStyle w:val="Compact"/>
      </w:pPr>
      <w:r>
        <w:rPr>
          <w:bCs/>
          <w:b/>
        </w:rPr>
        <w:t xml:space="preserve">Energy Intensity:</w:t>
      </w:r>
      <w:r>
        <w:t xml:space="preserve"> </w:t>
      </w:r>
      <w:r>
        <w:t xml:space="preserve">`xosonrklrl` kWh/unit is the energy consumed per unit of mspelwesdw produced.</w:t>
      </w:r>
    </w:p>
    <w:p>
      <w:pPr>
        <w:pStyle w:val="FirstParagraph"/>
      </w:pPr>
      <w:r>
        <w:rPr>
          <w:iCs/>
          <w:i/>
        </w:rPr>
        <w:t xml:space="preserve">Example calculation for purchased electricity: The total energy consumed (`xosonrklrl` kWh) would be multiplied by the grid emission factor for China, adjusted by the `fdrnuttghk`% renewable energy usage. Direct fuel combustion at the factory (Scope 1) would also be factored in, if applicable.</w:t>
      </w:r>
    </w:p>
    <w:bookmarkEnd w:id="24"/>
    <w:bookmarkStart w:id="25" w:name="X1465d3a87cbc412930a06f85b3297753391a2e8"/>
    <w:p>
      <w:pPr>
        <w:pStyle w:val="Heading3"/>
      </w:pPr>
      <w:r>
        <w:t xml:space="preserve">2.3 Transport and Distribution (Upstream &amp; Downstream - Scope 3)</w:t>
      </w:r>
    </w:p>
    <w:p>
      <w:pPr>
        <w:pStyle w:val="FirstParagraph"/>
      </w:pPr>
      <w:r>
        <w:t xml:space="preserve">Logistics data is integrated into the supply chain analysis to quantify transport-related emissions.</w:t>
      </w:r>
    </w:p>
    <w:p>
      <w:pPr>
        <w:numPr>
          <w:ilvl w:val="0"/>
          <w:numId w:val="1004"/>
        </w:numPr>
        <w:pStyle w:val="Compact"/>
      </w:pPr>
      <w:r>
        <w:rPr>
          <w:bCs/>
          <w:b/>
        </w:rPr>
        <w:t xml:space="preserve">Transport Mode:</w:t>
      </w:r>
      <w:r>
        <w:t xml:space="preserve"> </w:t>
      </w:r>
      <w:r>
        <w:t xml:space="preserve">`Select Mode` (e.g., Ocean freight, Rail, Road, Air).</w:t>
      </w:r>
    </w:p>
    <w:p>
      <w:pPr>
        <w:numPr>
          <w:ilvl w:val="0"/>
          <w:numId w:val="1004"/>
        </w:numPr>
        <w:pStyle w:val="Compact"/>
      </w:pPr>
      <w:r>
        <w:rPr>
          <w:bCs/>
          <w:b/>
        </w:rPr>
        <w:t xml:space="preserve">Transport Distance:</w:t>
      </w:r>
      <w:r>
        <w:t xml:space="preserve"> </w:t>
      </w:r>
      <w:r>
        <w:t xml:space="preserve">`qpjyttftku` (e.g., km).</w:t>
      </w:r>
    </w:p>
    <w:p>
      <w:pPr>
        <w:numPr>
          <w:ilvl w:val="0"/>
          <w:numId w:val="1004"/>
        </w:numPr>
        <w:pStyle w:val="Compact"/>
      </w:pPr>
      <w:r>
        <w:rPr>
          <w:bCs/>
          <w:b/>
        </w:rPr>
        <w:t xml:space="preserve">Last-Mile Delivery Channel:</w:t>
      </w:r>
      <w:r>
        <w:t xml:space="preserve"> </w:t>
      </w:r>
      <w:r>
        <w:t xml:space="preserve">`Delivery Type` (e.g., Parcel service, Company fleet, Customer pickup).</w:t>
      </w:r>
    </w:p>
    <w:p>
      <w:pPr>
        <w:pStyle w:val="FirstParagraph"/>
      </w:pPr>
      <w:r>
        <w:rPr>
          <w:iCs/>
          <w:i/>
        </w:rPr>
        <w:t xml:space="preserve">Emissions from raw material transport to the factory (upstream) and finished product transport to the customer (downstream) would be calculated using appropriate emission factors for the `Select Mode` over `qpjyttftku` distance. Last-mile delivery via `Delivery Type` would also be included, aligning with the Europe Focused supply chain. These are categorized as Scope 3 emissions.</w:t>
      </w:r>
    </w:p>
    <w:bookmarkEnd w:id="25"/>
    <w:bookmarkStart w:id="26" w:name="use-phase-downstream---scope-3"/>
    <w:p>
      <w:pPr>
        <w:pStyle w:val="Heading3"/>
      </w:pPr>
      <w:r>
        <w:t xml:space="preserve">2.4 Use Phase (Downstream - Scope 3)</w:t>
      </w:r>
    </w:p>
    <w:p>
      <w:pPr>
        <w:pStyle w:val="FirstParagraph"/>
      </w:pPr>
      <w:r>
        <w:t xml:space="preserve">The durability and consumption data are crucial for assessing the environmental impact during the product\'s operational life.</w:t>
      </w:r>
    </w:p>
    <w:p>
      <w:pPr>
        <w:numPr>
          <w:ilvl w:val="0"/>
          <w:numId w:val="1005"/>
        </w:numPr>
        <w:pStyle w:val="Compact"/>
      </w:pPr>
      <w:r>
        <w:rPr>
          <w:bCs/>
          <w:b/>
        </w:rPr>
        <w:t xml:space="preserve">Product Lifespan:</w:t>
      </w:r>
      <w:r>
        <w:t xml:space="preserve"> </w:t>
      </w:r>
      <w:r>
        <w:t xml:space="preserve">`ghltrlxwsk` (e.g., years, cycles, hours).</w:t>
      </w:r>
    </w:p>
    <w:p>
      <w:pPr>
        <w:numPr>
          <w:ilvl w:val="0"/>
          <w:numId w:val="1005"/>
        </w:numPr>
        <w:pStyle w:val="Compact"/>
      </w:pPr>
      <w:r>
        <w:rPr>
          <w:bCs/>
          <w:b/>
        </w:rPr>
        <w:t xml:space="preserve">Energy Consumption in Use:</w:t>
      </w:r>
      <w:r>
        <w:t xml:space="preserve"> </w:t>
      </w:r>
      <w:r>
        <w:t xml:space="preserve">`hxmlnshyoy` (e.g., kWh/year).</w:t>
      </w:r>
    </w:p>
    <w:p>
      <w:pPr>
        <w:pStyle w:val="FirstParagraph"/>
      </w:pPr>
      <w:r>
        <w:rPr>
          <w:iCs/>
          <w:i/>
        </w:rPr>
        <w:t xml:space="preserve">Total energy consumption over the `ghltrlxwsk` lifespan, derived from `hxmlnshyoy` per unit of time, would be multiplied by relevant electricity emission factors (e.g., average grid mix of the use region, if not specified). This is a Scope 3 emission.</w:t>
      </w:r>
    </w:p>
    <w:bookmarkEnd w:id="26"/>
    <w:bookmarkStart w:id="27" w:name="Xbd5ce2581a055ba0d05236edb0e67e8783fa2ac"/>
    <w:p>
      <w:pPr>
        <w:pStyle w:val="Heading3"/>
      </w:pPr>
      <w:r>
        <w:t xml:space="preserve">2.5 End-of-Life (EoL) Scenarios (Downstream - Scope 3)</w:t>
      </w:r>
    </w:p>
    <w:p>
      <w:pPr>
        <w:pStyle w:val="FirstParagraph"/>
      </w:pPr>
      <w:r>
        <w:t xml:space="preserve">Circular economy impacts are reflected by incorporating end-of-life scenarios.</w:t>
      </w:r>
    </w:p>
    <w:p>
      <w:pPr>
        <w:numPr>
          <w:ilvl w:val="0"/>
          <w:numId w:val="1006"/>
        </w:numPr>
        <w:pStyle w:val="Compact"/>
      </w:pPr>
      <w:r>
        <w:rPr>
          <w:bCs/>
          <w:b/>
        </w:rPr>
        <w:t xml:space="preserve">Recyclability Percentage:</w:t>
      </w:r>
      <w:r>
        <w:t xml:space="preserve"> </w:t>
      </w:r>
      <w:r>
        <w:t xml:space="preserve">`xsfedvvhuw`%.</w:t>
      </w:r>
    </w:p>
    <w:p>
      <w:pPr>
        <w:numPr>
          <w:ilvl w:val="0"/>
          <w:numId w:val="1006"/>
        </w:numPr>
        <w:pStyle w:val="Compact"/>
      </w:pPr>
      <w:r>
        <w:rPr>
          <w:bCs/>
          <w:b/>
        </w:rPr>
        <w:t xml:space="preserve">Circular/Take-back Programs:</w:t>
      </w:r>
      <w:r>
        <w:t xml:space="preserve"> </w:t>
      </w:r>
      <w:r>
        <w:t xml:space="preserve">`kvkkijgrdo` (e.g., Yes/No, description of program).</w:t>
      </w:r>
    </w:p>
    <w:p>
      <w:pPr>
        <w:pStyle w:val="FirstParagraph"/>
      </w:pPr>
      <w:r>
        <w:rPr>
          <w:iCs/>
          <w:i/>
        </w:rPr>
        <w:t xml:space="preserve">Emissions from disposal (landfilling, incineration) or benefits from recycling (avoided emissions) would be calculated based on the `xsfedvvhuw`% recyclability. The presence of `kvkkijgrdo` circular/take-back programs could further reduce the EoL footprint through increased recycling rates or material reuse. These are typically Scope 3 emissions.</w:t>
      </w:r>
    </w:p>
    <w:p>
      <w:r>
        <w:pict>
          <v:rect style="width:0;height:1.5pt" o:hralign="center" o:hrstd="t" o:hr="t"/>
        </w:pict>
      </w:r>
    </w:p>
    <w:bookmarkEnd w:id="27"/>
    <w:bookmarkEnd w:id="28"/>
    <w:bookmarkStart w:id="32" w:name="calculate-emissions"/>
    <w:p>
      <w:pPr>
        <w:pStyle w:val="Heading2"/>
      </w:pPr>
      <w:r>
        <w:t xml:space="preserve">4. Calculate Emissions</w:t>
      </w:r>
    </w:p>
    <w:p>
      <w:pPr>
        <w:pStyle w:val="FirstParagraph"/>
      </w:pPr>
      <w:r>
        <w:t xml:space="preserve">Emissions are calculated by multiplying activity data by relevant emission factors. The GHG Protocol classification (Scope 1, 2, 3) is strictly followed, and the 2026 updates are applied.</w:t>
      </w:r>
    </w:p>
    <w:bookmarkStart w:id="29" w:name="ghg-protocol-categorization"/>
    <w:p>
      <w:pPr>
        <w:pStyle w:val="Heading3"/>
      </w:pPr>
      <w:r>
        <w:t xml:space="preserve">4.1 GHG Protocol Categorization</w:t>
      </w:r>
    </w:p>
    <w:p>
      <w:pPr>
        <w:numPr>
          <w:ilvl w:val="0"/>
          <w:numId w:val="1007"/>
        </w:numPr>
        <w:pStyle w:val="Compact"/>
      </w:pPr>
      <w:r>
        <w:rPr>
          <w:bCs/>
          <w:b/>
        </w:rPr>
        <w:t xml:space="preserve">Scope 1: Direct GHG Emissions</w:t>
      </w:r>
      <w:r>
        <w:t xml:space="preserve">: These are emissions from sources owned or controlled by zzqxmjgxvu. In the context of PCF for mspelwesdw, this primarily includes direct fuel combustion in manufacturing operations, process emissions (if any), and company-owned vehicle fleets for internal logistics within the factory gate.</w:t>
      </w:r>
    </w:p>
    <w:p>
      <w:pPr>
        <w:numPr>
          <w:ilvl w:val="0"/>
          <w:numId w:val="1007"/>
        </w:numPr>
        <w:pStyle w:val="Compact"/>
      </w:pPr>
      <w:r>
        <w:rPr>
          <w:bCs/>
          <w:b/>
        </w:rPr>
        <w:t xml:space="preserve">Scope 2: Indirect GHG Emissions from Purchased Energy</w:t>
      </w:r>
      <w:r>
        <w:t xml:space="preserve">: These are emissions from the generation of purchased electricity, heat, or steam consumed by zzqxmjgxvu for manufacturing mspelwesdw. The energy intensity (`xosonrklrl` kWh/unit) and renewable energy usage (`fdrnuttghk`%) for production in China are crucial here.</w:t>
      </w:r>
    </w:p>
    <w:p>
      <w:pPr>
        <w:numPr>
          <w:ilvl w:val="0"/>
          <w:numId w:val="1007"/>
        </w:numPr>
      </w:pPr>
      <w:r>
        <w:rPr>
          <w:bCs/>
          <w:b/>
        </w:rPr>
        <w:t xml:space="preserve">Scope 3: Other Indirect Emissions (Value Chain Emissions)</w:t>
      </w:r>
      <w:r>
        <w:t xml:space="preserve">: These encompass all other indirect emissions occurring in the value chain, both upstream and downstream. For mspelwesdw, this includes:</w:t>
      </w:r>
    </w:p>
    <w:p>
      <w:pPr>
        <w:numPr>
          <w:ilvl w:val="1"/>
          <w:numId w:val="1008"/>
        </w:numPr>
        <w:pStyle w:val="Compact"/>
      </w:pPr>
      <w:r>
        <w:t xml:space="preserve">Purchased goods and services (raw materials, components - from `jimxkmpg`).</w:t>
      </w:r>
    </w:p>
    <w:p>
      <w:pPr>
        <w:numPr>
          <w:ilvl w:val="1"/>
          <w:numId w:val="1008"/>
        </w:numPr>
        <w:pStyle w:val="Compact"/>
      </w:pPr>
      <w:r>
        <w:t xml:space="preserve">Upstream transportation and distribution (transport of `jimxkmpg` materials to the factory).</w:t>
      </w:r>
    </w:p>
    <w:p>
      <w:pPr>
        <w:numPr>
          <w:ilvl w:val="1"/>
          <w:numId w:val="1008"/>
        </w:numPr>
        <w:pStyle w:val="Compact"/>
      </w:pPr>
      <w:r>
        <w:t xml:space="preserve">Downstream transportation and distribution (transport of mspelwesdw to customers, last-mile delivery).</w:t>
      </w:r>
    </w:p>
    <w:p>
      <w:pPr>
        <w:numPr>
          <w:ilvl w:val="1"/>
          <w:numId w:val="1008"/>
        </w:numPr>
        <w:pStyle w:val="Compact"/>
      </w:pPr>
      <w:r>
        <w:t xml:space="preserve">Use of sold products (energy consumption during `ghltrlxwsk` lifespan based on `hxmlnshyoy`).</w:t>
      </w:r>
    </w:p>
    <w:p>
      <w:pPr>
        <w:numPr>
          <w:ilvl w:val="1"/>
          <w:numId w:val="1008"/>
        </w:numPr>
        <w:pStyle w:val="Compact"/>
      </w:pPr>
      <w:r>
        <w:t xml:space="preserve">End-of-life treatment of sold products (disposal/recycling based on `xsfedvvhuw`% and `kvkkijgrdo`).</w:t>
      </w:r>
    </w:p>
    <w:p>
      <w:pPr>
        <w:numPr>
          <w:ilvl w:val="0"/>
          <w:numId w:val="1000"/>
        </w:numPr>
      </w:pPr>
      <w:r>
        <w:rPr>
          <w:bCs/>
          <w:b/>
        </w:rPr>
        <w:t xml:space="preserve">2026 Scope 3 Compliance:</w:t>
      </w:r>
      <w:r>
        <w:t xml:space="preserve"> </w:t>
      </w:r>
      <w:r>
        <w:t xml:space="preserve">As per 2026 requirements, at least 95% coverage for total relevant Scope 3 emissions is ensured for conformance. Exclusions must not exceed 5% and must be quantified, disclosed, and justified.</w:t>
      </w:r>
    </w:p>
    <w:bookmarkEnd w:id="29"/>
    <w:bookmarkStart w:id="30" w:name="X7ef73fe3d39a8d84fae696b42f814aa0d860ec0"/>
    <w:p>
      <w:pPr>
        <w:pStyle w:val="Heading3"/>
      </w:pPr>
      <w:r>
        <w:t xml:space="preserve">4.2 2026 LSR Update: Land Sector and Removals Standard</w:t>
      </w:r>
    </w:p>
    <w:p>
      <w:pPr>
        <w:pStyle w:val="FirstParagraph"/>
      </w:pPr>
      <w:r>
        <w:t xml:space="preserve">The Land Sector and Removals (LSR) Standard, taking effect on January 1, 2027, is applied for land use and carbon removals. Although the full guidance is expected in Q2 2026, the principles of accounting for land management, land use change, biogenic products, and technological CO2 removals are integrated. If any raw materials in `jimxkmpg` (e.g., bio-based materials) or manufacturing processes (e.g., those involving direct air capture, if applicable) fall under the land sector activities or CO2 removal technologies as defined by the LSR Standard, their associated emissions and removals are quantified and reported. This standard provides methods to quantify, report, and track land emissions, CO2 removals, and other key metrics.</w:t>
      </w:r>
    </w:p>
    <w:bookmarkEnd w:id="30"/>
    <w:bookmarkStart w:id="31" w:name="emission-factor-application"/>
    <w:p>
      <w:pPr>
        <w:pStyle w:val="Heading3"/>
      </w:pPr>
      <w:r>
        <w:t xml:space="preserve">4.3 Emission Factor Application</w:t>
      </w:r>
    </w:p>
    <w:p>
      <w:pPr>
        <w:pStyle w:val="FirstParagraph"/>
      </w:pPr>
      <w:r>
        <w:t xml:space="preserve">Industry-standard emission factors from reputable databases such as Ecoinvent and DEFRA are utilized for calculation. Ecoinvent offers comprehensive Life Cycle Inventory (LCI) data across various materials and processes. DEFRA factors, published by the UK government, provide official carbon conversion values for activity data, including Scope 1, 2, and 3 emissions.</w:t>
      </w:r>
    </w:p>
    <w:p>
      <w:pPr>
        <w:pStyle w:val="BodyText"/>
      </w:pPr>
      <w:r>
        <w:rPr>
          <w:bCs/>
          <w:b/>
        </w:rPr>
        <w:t xml:space="preserve">Example Calculation Principle:</w:t>
      </w:r>
    </w:p>
    <w:p>
      <w:pPr>
        <w:pStyle w:val="BodyText"/>
      </w:pPr>
      <w:r>
        <w:rPr>
          <w:rStyle w:val="VerbatimChar"/>
        </w:rPr>
        <w:t xml:space="preserve">Activity Data × Emission Factor = CO2e</w:t>
      </w:r>
    </w:p>
    <w:p>
      <w:pPr>
        <w:numPr>
          <w:ilvl w:val="0"/>
          <w:numId w:val="1009"/>
        </w:numPr>
        <w:pStyle w:val="Compact"/>
      </w:pPr>
      <w:r>
        <w:rPr>
          <w:bCs/>
          <w:b/>
        </w:rPr>
        <w:t xml:space="preserve">Materials:</w:t>
      </w:r>
      <w:r>
        <w:t xml:space="preserve"> </w:t>
      </w:r>
      <w:r>
        <w:t xml:space="preserve">Quantity of each material from `jimxkmpg` (e.g., kg of steel) multiplied by its specific emission factor (e.g., kg CO2e/kg steel) from Ecoinvent.</w:t>
      </w:r>
    </w:p>
    <w:p>
      <w:pPr>
        <w:numPr>
          <w:ilvl w:val="0"/>
          <w:numId w:val="1009"/>
        </w:numPr>
        <w:pStyle w:val="Compact"/>
      </w:pPr>
      <w:r>
        <w:rPr>
          <w:bCs/>
          <w:b/>
        </w:rPr>
        <w:t xml:space="preserve">Production Energy:</w:t>
      </w:r>
      <w:r>
        <w:t xml:space="preserve"> </w:t>
      </w:r>
      <w:r>
        <w:t xml:space="preserve">Total kWh consumed at the factory, adjusted for renewable energy usage, multiplied by China\'s grid electricity emission factor (kg CO2e/kWh).</w:t>
      </w:r>
    </w:p>
    <w:p>
      <w:pPr>
        <w:numPr>
          <w:ilvl w:val="0"/>
          <w:numId w:val="1009"/>
        </w:numPr>
        <w:pStyle w:val="Compact"/>
      </w:pPr>
      <w:r>
        <w:rPr>
          <w:bCs/>
          <w:b/>
        </w:rPr>
        <w:t xml:space="preserve">Transport:</w:t>
      </w:r>
      <w:r>
        <w:t xml:space="preserve"> </w:t>
      </w:r>
      <w:r>
        <w:t xml:space="preserve">Ton-kilometer (tkm) or vehicle-kilometer (vkm) for each transport leg (`Select Mode`, `qpjyttftku`) multiplied by respective transport mode emission factors (e.g., kg CO2e/tkm for ocean freight).</w:t>
      </w:r>
    </w:p>
    <w:p>
      <w:pPr>
        <w:numPr>
          <w:ilvl w:val="0"/>
          <w:numId w:val="1009"/>
        </w:numPr>
        <w:pStyle w:val="Compact"/>
      </w:pPr>
      <w:r>
        <w:rPr>
          <w:bCs/>
          <w:b/>
        </w:rPr>
        <w:t xml:space="preserve">Use Phase:</w:t>
      </w:r>
      <w:r>
        <w:t xml:space="preserve"> </w:t>
      </w:r>
      <w:r>
        <w:t xml:space="preserve">Total energy (kWh) consumed over lifespan multiplied by electricity emission factor for typical usage region.</w:t>
      </w:r>
    </w:p>
    <w:p>
      <w:pPr>
        <w:numPr>
          <w:ilvl w:val="0"/>
          <w:numId w:val="1009"/>
        </w:numPr>
        <w:pStyle w:val="Compact"/>
      </w:pPr>
      <w:r>
        <w:rPr>
          <w:bCs/>
          <w:b/>
        </w:rPr>
        <w:t xml:space="preserve">End-of-Life:</w:t>
      </w:r>
      <w:r>
        <w:t xml:space="preserve"> </w:t>
      </w:r>
      <w:r>
        <w:t xml:space="preserve">Mass of disposed/recycled material multiplied by relevant EoL emission/credit factors.</w:t>
      </w:r>
    </w:p>
    <w:p>
      <w:r>
        <w:pict>
          <v:rect style="width:0;height:1.5pt" o:hralign="center" o:hrstd="t" o:hr="t"/>
        </w:pict>
      </w:r>
    </w:p>
    <w:bookmarkEnd w:id="31"/>
    <w:bookmarkEnd w:id="32"/>
    <w:bookmarkStart w:id="35" w:name="review-report"/>
    <w:p>
      <w:pPr>
        <w:pStyle w:val="Heading2"/>
      </w:pPr>
      <w:r>
        <w:t xml:space="preserve">5. Review &amp; Report</w:t>
      </w:r>
    </w:p>
    <w:bookmarkStart w:id="33" w:name="hotspots-and-reliability"/>
    <w:p>
      <w:pPr>
        <w:pStyle w:val="Heading3"/>
      </w:pPr>
      <w:r>
        <w:t xml:space="preserve">5.1 Hotspots and Reliability</w:t>
      </w:r>
    </w:p>
    <w:p>
      <w:pPr>
        <w:pStyle w:val="FirstParagraph"/>
      </w:pPr>
      <w:r>
        <w:t xml:space="preserve">A critical step is to identify emission hotspots, which are the lifecycle stages or components contributing most significantly to the product\'s overall carbon footprint. Based on the structure of mspelwesdw, potential hotspots often include:</w:t>
      </w:r>
    </w:p>
    <w:p>
      <w:pPr>
        <w:numPr>
          <w:ilvl w:val="0"/>
          <w:numId w:val="1010"/>
        </w:numPr>
        <w:pStyle w:val="Compact"/>
      </w:pPr>
      <w:r>
        <w:rPr>
          <w:bCs/>
          <w:b/>
        </w:rPr>
        <w:t xml:space="preserve">Material Acquisition and Processing:</w:t>
      </w:r>
      <w:r>
        <w:t xml:space="preserve"> </w:t>
      </w:r>
      <w:r>
        <w:t xml:space="preserve">Especially for energy-intensive materials or those with complex supply chains (derived from `jimxkmpg` analysis).</w:t>
      </w:r>
    </w:p>
    <w:p>
      <w:pPr>
        <w:numPr>
          <w:ilvl w:val="0"/>
          <w:numId w:val="1010"/>
        </w:numPr>
        <w:pStyle w:val="Compact"/>
      </w:pPr>
      <w:r>
        <w:rPr>
          <w:bCs/>
          <w:b/>
        </w:rPr>
        <w:t xml:space="preserve">Use Phase:</w:t>
      </w:r>
      <w:r>
        <w:t xml:space="preserve"> </w:t>
      </w:r>
      <w:r>
        <w:t xml:space="preserve">If the product has a long lifespan and significant energy consumption during use (`ghltrlxwsk` and `hxmlnshyoy`).</w:t>
      </w:r>
    </w:p>
    <w:p>
      <w:pPr>
        <w:numPr>
          <w:ilvl w:val="0"/>
          <w:numId w:val="1010"/>
        </w:numPr>
        <w:pStyle w:val="Compact"/>
      </w:pPr>
      <w:r>
        <w:rPr>
          <w:bCs/>
          <w:b/>
        </w:rPr>
        <w:t xml:space="preserve">Transportation:</w:t>
      </w:r>
      <w:r>
        <w:t xml:space="preserve"> </w:t>
      </w:r>
      <w:r>
        <w:t xml:space="preserve">Particularly for long distances (`qpjyttftku`) or inefficient modes (`Select Mode`) between China and Europe.</w:t>
      </w:r>
    </w:p>
    <w:p>
      <w:pPr>
        <w:pStyle w:val="FirstParagraph"/>
      </w:pPr>
      <w:r>
        <w:t xml:space="preserve">The reliability of the data is assessed by noting the source (primary vs. secondary), age, and geographic specificity of the emission factors. Where primary data is unavailable (e.g., for specific `jimxkmpg` supplier processes), high-quality secondary data from Ecoinvent or DEFRA is used and clearly documented. The 2026 Scope 3 update\'s focus on data disaggregation by source type will further enhance transparency regarding data quality.</w:t>
      </w:r>
    </w:p>
    <w:bookmarkEnd w:id="33"/>
    <w:bookmarkStart w:id="34" w:name="key-insights-and-recommendations"/>
    <w:p>
      <w:pPr>
        <w:pStyle w:val="Heading3"/>
      </w:pPr>
      <w:r>
        <w:t xml:space="preserve">5.2 Key Insights and Recommendations</w:t>
      </w:r>
    </w:p>
    <w:p>
      <w:pPr>
        <w:pStyle w:val="FirstParagraph"/>
      </w:pPr>
      <w:r>
        <w:t xml:space="preserve">Based on a hypothetical analysis of the provided parameters:</w:t>
      </w:r>
    </w:p>
    <w:p>
      <w:pPr>
        <w:numPr>
          <w:ilvl w:val="0"/>
          <w:numId w:val="1011"/>
        </w:numPr>
        <w:pStyle w:val="Compact"/>
      </w:pPr>
      <w:r>
        <w:rPr>
          <w:bCs/>
          <w:b/>
        </w:rPr>
        <w:t xml:space="preserve">Material Optimization:</w:t>
      </w:r>
      <w:r>
        <w:t xml:space="preserve"> </w:t>
      </w:r>
      <w:r>
        <w:t xml:space="preserve">Review the Bill of Materials (`jimxkmpg`) to identify high-impact materials. Explore opportunities for material substitution with lower-carbon alternatives, lightweighting, or increasing recycled content, aligning with circular economy principles.</w:t>
      </w:r>
    </w:p>
    <w:p>
      <w:pPr>
        <w:numPr>
          <w:ilvl w:val="0"/>
          <w:numId w:val="1011"/>
        </w:numPr>
        <w:pStyle w:val="Compact"/>
      </w:pPr>
      <w:r>
        <w:rPr>
          <w:bCs/>
          <w:b/>
        </w:rPr>
        <w:t xml:space="preserve">Energy Efficiency in Production:</w:t>
      </w:r>
      <w:r>
        <w:t xml:space="preserve"> </w:t>
      </w:r>
      <w:r>
        <w:t xml:space="preserve">Given China as the production country and `fdrnuttghk` renewable energy usage, further increasing renewable energy procurement or on-site generation can significantly reduce Scope 2 emissions. Optimizing `xosonrklrl` kWh/unit energy intensity is also crucial.</w:t>
      </w:r>
    </w:p>
    <w:p>
      <w:pPr>
        <w:numPr>
          <w:ilvl w:val="0"/>
          <w:numId w:val="1011"/>
        </w:numPr>
        <w:pStyle w:val="Compact"/>
      </w:pPr>
      <w:r>
        <w:rPr>
          <w:bCs/>
          <w:b/>
        </w:rPr>
        <w:t xml:space="preserve">Logistics Streamlining:</w:t>
      </w:r>
      <w:r>
        <w:t xml:space="preserve"> </w:t>
      </w:r>
      <w:r>
        <w:t xml:space="preserve">Evaluate the `Select Mode` of transport and `qpjyttftku` distance. Prioritize more efficient modes (e.g., rail over air for Europe-focused supply chain) and optimize routes to reduce fuel consumption and associated Scope 3 emissions. Implement efficient `Delivery Type` for last-mile.</w:t>
      </w:r>
    </w:p>
    <w:p>
      <w:pPr>
        <w:numPr>
          <w:ilvl w:val="0"/>
          <w:numId w:val="1011"/>
        </w:numPr>
        <w:pStyle w:val="Compact"/>
      </w:pPr>
      <w:r>
        <w:rPr>
          <w:bCs/>
          <w:b/>
        </w:rPr>
        <w:t xml:space="preserve">Extended Product Lifespan &amp; Energy Efficiency in Use:</w:t>
      </w:r>
      <w:r>
        <w:t xml:space="preserve"> </w:t>
      </w:r>
      <w:r>
        <w:t xml:space="preserve">Given `ghltrlxwsk` lifespan and `hxmlnshyoy` energy in use, focus on improving the product\'s energy efficiency and durability to reduce lifetime emissions. Providing users with guidance on efficient product use can also contribute.</w:t>
      </w:r>
    </w:p>
    <w:p>
      <w:pPr>
        <w:numPr>
          <w:ilvl w:val="0"/>
          <w:numId w:val="1011"/>
        </w:numPr>
        <w:pStyle w:val="Compact"/>
      </w:pPr>
      <w:r>
        <w:rPr>
          <w:bCs/>
          <w:b/>
        </w:rPr>
        <w:t xml:space="preserve">Enhance Circularity:</w:t>
      </w:r>
      <w:r>
        <w:t xml:space="preserve"> </w:t>
      </w:r>
      <w:r>
        <w:t xml:space="preserve">Leverage the `xsfedvvhuw`% recyclability and `kvkkijgrdo` circular/take-back programs. Expand these programs, ensure high collection and actual recycling rates, and explore opportunities for material reuse or remanufacturing to close material loops and minimize EoL emissions and maximize avoided impacts.</w:t>
      </w:r>
    </w:p>
    <w:p>
      <w:pPr>
        <w:numPr>
          <w:ilvl w:val="0"/>
          <w:numId w:val="1011"/>
        </w:numPr>
        <w:pStyle w:val="Compact"/>
      </w:pPr>
      <w:r>
        <w:rPr>
          <w:bCs/>
          <w:b/>
        </w:rPr>
        <w:t xml:space="preserve">GHG Protocol Alignment:</w:t>
      </w:r>
      <w:r>
        <w:t xml:space="preserve"> </w:t>
      </w:r>
      <w:r>
        <w:t xml:space="preserve">Continue to collect primary data from suppliers to meet the 95% Scope 3 coverage rule and improve data accuracy. Prepare for the full implementation of the LSR Standard by identifying and quantifying land-related emissions and removals in the value chain.</w:t>
      </w:r>
    </w:p>
    <w:p>
      <w:r>
        <w:pict>
          <v:rect style="width:0;height:1.5pt" o:hralign="center" o:hrstd="t" o:hr="t"/>
        </w:pict>
      </w:r>
    </w:p>
    <w:p>
      <w:pPr>
        <w:pStyle w:val="FirstParagraph"/>
      </w:pPr>
      <w:r>
        <w:t xml:space="preserve">Confidential - Internal Use Only</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mspelwesdw</dc:title>
  <dc:creator/>
  <dc:description>High-detail Product Carbon Footprint (PCF) analysis for mspelwesdw, conducted by dwvpyzfswi of zzqxmjgxvu, adhering to GHG Protocol standards and 2026 updates.</dc:description>
  <dc:language>en</dc:language>
  <cp:keywords/>
  <dcterms:created xsi:type="dcterms:W3CDTF">2026-08-29T06:29:42Z</dcterms:created>
  <dcterms:modified xsi:type="dcterms:W3CDTF">2026-08-29T06:29:42Z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