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msowlrzier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msowlrzier</w:t>
      </w:r>
    </w:p>
    <w:p>
      <w:pPr>
        <w:pStyle w:val="BodyText"/>
      </w:pPr>
      <w:r>
        <w:rPr>
          <w:bCs/>
          <w:b/>
        </w:rPr>
        <w:t xml:space="preserve">Company Name:</w:t>
      </w:r>
      <w:r>
        <w:t xml:space="preserve"> </w:t>
      </w:r>
      <w:r>
        <w:t xml:space="preserve">uhyswykpqd</w:t>
      </w:r>
    </w:p>
    <w:p>
      <w:pPr>
        <w:pStyle w:val="BodyText"/>
      </w:pPr>
      <w:r>
        <w:rPr>
          <w:bCs/>
          <w:b/>
        </w:rPr>
        <w:t xml:space="preserve">Senior Sustainability Consultant:</w:t>
      </w:r>
      <w:r>
        <w:t xml:space="preserve"> </w:t>
      </w:r>
      <w:r>
        <w:t xml:space="preserve">ixygnppnxv</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efforts have been made to ensure accuracy, the results are indicative and subject to the quality and completeness of the input data and chosen emission factors.</w:t>
      </w:r>
    </w:p>
    <w:bookmarkEnd w:id="20"/>
    <w:bookmarkStart w:id="21" w:name="product-carbon-footprint-analysis"/>
    <w:p>
      <w:pPr>
        <w:pStyle w:val="Heading1"/>
      </w:pPr>
      <w:r>
        <w:t xml:space="preserve">Product Carbon Footprint Analysis</w:t>
      </w:r>
    </w:p>
    <w:p>
      <w:pPr>
        <w:pStyle w:val="FirstParagraph"/>
      </w:pPr>
      <w:r>
        <w:t xml:space="preserve">Product: msowlrzier | Company: uhyswykpqd</w:t>
      </w:r>
    </w:p>
    <w:p>
      <w:pPr>
        <w:pStyle w:val="BodyText"/>
      </w:pPr>
      <w:r>
        <w:t xml:space="preserve">Generated Date: June 3, 2026</w:t>
      </w:r>
    </w:p>
    <w:bookmarkEnd w:id="21"/>
    <w:bookmarkStart w:id="22" w:name="executive-summary"/>
    <w:p>
      <w:pPr>
        <w:pStyle w:val="Heading2"/>
      </w:pPr>
      <w:r>
        <w:t xml:space="preserve">Executive Summary</w:t>
      </w:r>
    </w:p>
    <w:p>
      <w:pPr>
        <w:pStyle w:val="FirstParagraph"/>
      </w:pPr>
      <w:r>
        <w:t xml:space="preserve">This Product Carbon Footprint (PCF) analysis, conducted by ixygnppnxv, Senior Sustainability Consultant, for uhyswykpqd, quantifies the greenhouse gas (GHG) emissions associated with the product msowlrzier across its entire lifecycle. Adhering strictly to the GHG Protocol Product Standard and incorporating the latest 2026 Land Sector and Removals (LSR) update, this report aims to identify emission hotspots, assess environmental performance, and provide actionable insights for decarbonization. The analysis covers the lifecycle from raw material extraction through manufacturing, transportation, use, and end-of-life treatment, providing a comprehensive understanding of msowlrzier\'s environmental impact. At least 95% coverage for Scope 3 emissions has been ensured, reflecting the stringent 2026 requirements.</w:t>
      </w:r>
    </w:p>
    <w:p>
      <w:r>
        <w:pict>
          <v:rect style="width:0;height:1.5pt" o:hralign="center" o:hrstd="t" o:hr="t"/>
        </w:pict>
      </w:r>
    </w:p>
    <w:bookmarkEnd w:id="22"/>
    <w:bookmarkStart w:id="28" w:name="defining-the-scope-of-analysis"/>
    <w:p>
      <w:pPr>
        <w:pStyle w:val="Heading2"/>
      </w:pPr>
      <w:r>
        <w:t xml:space="preserve">1. Defining the Scope of Analysis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msowlrzier</w:t>
      </w:r>
      <w:r>
        <w:t xml:space="preserve">. This unit provides a reference basis for quantifying and comparing environmental impacts.</w:t>
      </w:r>
    </w:p>
    <w:bookmarkEnd w:id="23"/>
    <w:bookmarkStart w:id="24" w:name="system-boundary"/>
    <w:p>
      <w:pPr>
        <w:pStyle w:val="Heading3"/>
      </w:pPr>
      <w:r>
        <w:t xml:space="preserve">1.2 System Boundary</w:t>
      </w:r>
    </w:p>
    <w:p>
      <w:pPr>
        <w:pStyle w:val="FirstParagraph"/>
      </w:pPr>
      <w:r>
        <w:t xml:space="preserve">The system boundary for this analysis is "factory_gate" for primary production, extending to a "cradle-to-grave" approach for the full product lifecycle. This includes:</w:t>
      </w:r>
    </w:p>
    <w:p>
      <w:pPr>
        <w:numPr>
          <w:ilvl w:val="0"/>
          <w:numId w:val="1001"/>
        </w:numPr>
        <w:pStyle w:val="Compact"/>
      </w:pPr>
      <w:r>
        <w:t xml:space="preserve">Raw material acquisition and pre-processing.</w:t>
      </w:r>
    </w:p>
    <w:p>
      <w:pPr>
        <w:numPr>
          <w:ilvl w:val="0"/>
          <w:numId w:val="1001"/>
        </w:numPr>
        <w:pStyle w:val="Compact"/>
      </w:pPr>
      <w:r>
        <w:t xml:space="preserve">Manufacturing (production at uhyswykpqd\'s facilities).</w:t>
      </w:r>
    </w:p>
    <w:p>
      <w:pPr>
        <w:numPr>
          <w:ilvl w:val="0"/>
          <w:numId w:val="1001"/>
        </w:numPr>
        <w:pStyle w:val="Compact"/>
      </w:pPr>
      <w:r>
        <w:t xml:space="preserve">Transportation of raw materials and finished goods.</w:t>
      </w:r>
    </w:p>
    <w:p>
      <w:pPr>
        <w:numPr>
          <w:ilvl w:val="0"/>
          <w:numId w:val="1001"/>
        </w:numPr>
        <w:pStyle w:val="Compact"/>
      </w:pPr>
      <w:r>
        <w:t xml:space="preserve">Product use phase by the consumer.</w:t>
      </w:r>
    </w:p>
    <w:p>
      <w:pPr>
        <w:numPr>
          <w:ilvl w:val="0"/>
          <w:numId w:val="1001"/>
        </w:numPr>
        <w:pStyle w:val="Compact"/>
      </w:pPr>
      <w:r>
        <w:t xml:space="preserve">End-of-life treatment (disposal and recycling).</w:t>
      </w:r>
    </w:p>
    <w:bookmarkEnd w:id="24"/>
    <w:bookmarkStart w:id="25" w:name="geographic-scope"/>
    <w:p>
      <w:pPr>
        <w:pStyle w:val="Heading3"/>
      </w:pPr>
      <w:r>
        <w:t xml:space="preserve">1.3 Geographic Scope</w:t>
      </w:r>
    </w:p>
    <w:p>
      <w:pPr>
        <w:pStyle w:val="FirstParagraph"/>
      </w:pPr>
      <w:r>
        <w:t xml:space="preserve">The geographic scope focuses 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significant upstream material sourcing and/or processing within Europe before reaching the China production facility, and then global distribution).</w:t>
      </w:r>
    </w:p>
    <w:bookmarkEnd w:id="25"/>
    <w:bookmarkStart w:id="26"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purchased energy), and Scope 3 (all other indirect emissions across the value chain) as per GHG Protocol guidelines.</w:t>
      </w:r>
    </w:p>
    <w:bookmarkEnd w:id="26"/>
    <w:bookmarkStart w:id="27" w:name="allocation"/>
    <w:p>
      <w:pPr>
        <w:pStyle w:val="Heading3"/>
      </w:pPr>
      <w:r>
        <w:t xml:space="preserve">1.5 Allocation</w:t>
      </w:r>
    </w:p>
    <w:p>
      <w:pPr>
        <w:pStyle w:val="FirstParagraph"/>
      </w:pPr>
      <w:r>
        <w:t xml:space="preserve">For this single-product analysis, direct allocation of emissions to the functional unit is applied. No complex co-product allocation methods are required as msowlrzier is considered the sole primary product of this assessment.</w:t>
      </w:r>
    </w:p>
    <w:p>
      <w:r>
        <w:pict>
          <v:rect style="width:0;height:1.5pt" o:hralign="center" o:hrstd="t" o:hr="t"/>
        </w:pict>
      </w:r>
    </w:p>
    <w:bookmarkEnd w:id="27"/>
    <w:bookmarkEnd w:id="28"/>
    <w:bookmarkStart w:id="34" w:name="X8df143d276c703dd53c23442d22b6472e0a1953"/>
    <w:p>
      <w:pPr>
        <w:pStyle w:val="Heading2"/>
      </w:pPr>
      <w:r>
        <w:t xml:space="preserve">2. Mapping the Product Lifecycle (LCI Inventory Stages)</w:t>
      </w:r>
    </w:p>
    <w:p>
      <w:pPr>
        <w:pStyle w:val="FirstParagraph"/>
      </w:pPr>
      <w:r>
        <w:t xml:space="preserve">The lifecycle of msowlrzier is mapped into distinct stages to systematically collect data and calculate emissions. This follows a "cradle-to-grave" approach as recommended by the GHG Protocol Product Standard.</w:t>
      </w:r>
    </w:p>
    <w:bookmarkStart w:id="29" w:name="X6cabf50606720861dfc0d456c701d65f990a8d1"/>
    <w:p>
      <w:pPr>
        <w:pStyle w:val="Heading3"/>
      </w:pPr>
      <w:r>
        <w:t xml:space="preserve">2.1 Material Acquisition &amp; Pre-processing (Upstream)</w:t>
      </w:r>
    </w:p>
    <w:p>
      <w:pPr>
        <w:pStyle w:val="FirstParagraph"/>
      </w:pPr>
      <w:r>
        <w:t xml:space="preserve">This stage includes the extraction, processing, and manufacturing of all raw materials and components listed in the Detailed Bill of Materials (BOM) \'frrvxume\'.</w:t>
      </w:r>
    </w:p>
    <w:bookmarkEnd w:id="29"/>
    <w:bookmarkStart w:id="30" w:name="manufacturing-production-phase"/>
    <w:p>
      <w:pPr>
        <w:pStyle w:val="Heading3"/>
      </w:pPr>
      <w:r>
        <w:t xml:space="preserve">2.2 Manufacturing (Production Phase)</w:t>
      </w:r>
    </w:p>
    <w:p>
      <w:pPr>
        <w:pStyle w:val="FirstParagraph"/>
      </w:pPr>
      <w:r>
        <w:t xml:space="preserve">This covers all activities at the uhyswykpqd production facility in China, including energy consumption, direct emissions from industrial processes (if any), and waste generation.</w:t>
      </w:r>
    </w:p>
    <w:bookmarkEnd w:id="30"/>
    <w:bookmarkStart w:id="31" w:name="transportation-distribution"/>
    <w:p>
      <w:pPr>
        <w:pStyle w:val="Heading3"/>
      </w:pPr>
      <w:r>
        <w:t xml:space="preserve">2.3 Transportation &amp; Distribution</w:t>
      </w:r>
    </w:p>
    <w:p>
      <w:pPr>
        <w:pStyle w:val="FirstParagraph"/>
      </w:pPr>
      <w:r>
        <w:t xml:space="preserve">This stage accounts for all transport activities:</w:t>
      </w:r>
    </w:p>
    <w:p>
      <w:pPr>
        <w:numPr>
          <w:ilvl w:val="0"/>
          <w:numId w:val="1003"/>
        </w:numPr>
        <w:pStyle w:val="Compact"/>
      </w:pPr>
      <w:r>
        <w:t xml:space="preserve">Upstream: From raw material suppliers (Europe Focused) to the manufacturing facility in China.</w:t>
      </w:r>
    </w:p>
    <w:p>
      <w:pPr>
        <w:numPr>
          <w:ilvl w:val="0"/>
          <w:numId w:val="1003"/>
        </w:numPr>
        <w:pStyle w:val="Compact"/>
      </w:pPr>
      <w:r>
        <w:t xml:space="preserve">Downstream: From the manufacturing facility to distribution centers, and subsequently for last-mile delivery to the end-user.</w:t>
      </w:r>
    </w:p>
    <w:bookmarkEnd w:id="31"/>
    <w:bookmarkStart w:id="32" w:name="product-use-phase"/>
    <w:p>
      <w:pPr>
        <w:pStyle w:val="Heading3"/>
      </w:pPr>
      <w:r>
        <w:t xml:space="preserve">2.4 Product Use Phase</w:t>
      </w:r>
    </w:p>
    <w:p>
      <w:pPr>
        <w:pStyle w:val="FirstParagraph"/>
      </w:pPr>
      <w:r>
        <w:t xml:space="preserve">This includes the energy consumption of msowlrzier during its expected lifespan as used by the consumer.</w:t>
      </w:r>
    </w:p>
    <w:bookmarkEnd w:id="32"/>
    <w:bookmarkStart w:id="33" w:name="end-of-life-eol-treatment"/>
    <w:p>
      <w:pPr>
        <w:pStyle w:val="Heading3"/>
      </w:pPr>
      <w:r>
        <w:t xml:space="preserve">2.5 End-of-Life (EoL) Treatment</w:t>
      </w:r>
    </w:p>
    <w:p>
      <w:pPr>
        <w:pStyle w:val="FirstParagraph"/>
      </w:pPr>
      <w:r>
        <w:t xml:space="preserve">This final stage considers the impacts of product disposal, recycling, or recovery processes at the end of msowlrzier\'s useful life.</w:t>
      </w:r>
    </w:p>
    <w:p>
      <w:r>
        <w:pict>
          <v:rect style="width:0;height:1.5pt" o:hralign="center" o:hrstd="t" o:hr="t"/>
        </w:pict>
      </w:r>
    </w:p>
    <w:bookmarkEnd w:id="33"/>
    <w:bookmarkEnd w:id="34"/>
    <w:bookmarkStart w:id="40" w:name="X7b6d01ce7b6bfe45f00681616505557cddf238f"/>
    <w:p>
      <w:pPr>
        <w:pStyle w:val="Heading2"/>
      </w:pPr>
      <w:r>
        <w:t xml:space="preserve">3. Data Collection (Primary/Secondary Data Points)</w:t>
      </w:r>
    </w:p>
    <w:p>
      <w:pPr>
        <w:pStyle w:val="FirstParagraph"/>
      </w:pPr>
      <w:r>
        <w:t xml:space="preserve">Both primary (company-specific) and secondary (generic, industry-average) data were collected and utilized for this analysis. Emission factors are sourced from industry-standard databases (approximated from Ecoinvent/DEFRA averages for this simulated report) where specific primary data was not available.</w:t>
      </w:r>
    </w:p>
    <w:bookmarkStart w:id="35" w:name="X5c27a0ae51ea4794686062517a4193159ae826a"/>
    <w:p>
      <w:pPr>
        <w:pStyle w:val="Heading3"/>
      </w:pPr>
      <w:r>
        <w:t xml:space="preserve">3.1 Detailed Bill of Materials (BOM) - frrvxume (Simulated Data)</w:t>
      </w:r>
    </w:p>
    <w:p>
      <w:pPr>
        <w:pStyle w:val="FirstParagraph"/>
      </w:pPr>
      <w:r>
        <w:t xml:space="preserve">The following table details the materials, quantities, and their associated carbon emissions, forming the core of the upstream impact assessment (Scope 3, Category 1: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8.00</w:t>
            </w:r>
          </w:p>
        </w:tc>
        <w:tc>
          <w:tcPr/>
          <w:p>
            <w:pPr>
              <w:pStyle w:val="Compact"/>
              <w:jc w:val="left"/>
            </w:pPr>
            <w:r>
              <w:t xml:space="preserve">0.80</w:t>
            </w:r>
          </w:p>
        </w:tc>
      </w:tr>
      <w:tr>
        <w:tc>
          <w:tcPr/>
          <w:p>
            <w:pPr>
              <w:pStyle w:val="Compact"/>
              <w:jc w:val="left"/>
            </w:pPr>
            <w:r>
              <w:t xml:space="preserve">3</w:t>
            </w:r>
          </w:p>
        </w:tc>
        <w:tc>
          <w:tcPr/>
          <w:p>
            <w:pPr>
              <w:pStyle w:val="Compact"/>
              <w:jc w:val="left"/>
            </w:pPr>
            <w:r>
              <w:t xml:space="preserve">PCB (Printed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Battery (Lithium-ion)</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1.60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0.23</w:t>
            </w:r>
          </w:p>
        </w:tc>
      </w:tr>
      <w:tr>
        <w:tc>
          <w:tcPr>
            <w:gridSpan w:val="7"/>
          </w:tcPr>
          <w:p>
            <w:pPr>
              <w:pStyle w:val="Compact"/>
              <w:jc w:val="right"/>
            </w:pPr>
            <w:r>
              <w:rPr>
                <w:bCs/>
                <w:b/>
              </w:rPr>
              <w:t xml:space="preserve">Total Upstream Material Emissions (Scope 3.1):</w:t>
            </w:r>
          </w:p>
        </w:tc>
        <w:tc>
          <w:tcPr/>
          <w:p>
            <w:pPr>
              <w:pStyle w:val="Compact"/>
              <w:jc w:val="left"/>
            </w:pPr>
            <w:r>
              <w:rPr>
                <w:bCs/>
                <w:b/>
              </w:rPr>
              <w:t xml:space="preserve">3.96 kgCO2e</w:t>
            </w:r>
          </w:p>
        </w:tc>
      </w:tr>
    </w:tbl>
    <w:bookmarkEnd w:id="35"/>
    <w:bookmarkStart w:id="36" w:name="energy-inputs-production-phase"/>
    <w:p>
      <w:pPr>
        <w:pStyle w:val="Heading3"/>
      </w:pPr>
      <w:r>
        <w:t xml:space="preserve">3.2 Energy Inputs (Production Phase)</w:t>
      </w:r>
    </w:p>
    <w:p>
      <w:pPr>
        <w:numPr>
          <w:ilvl w:val="0"/>
          <w:numId w:val="1004"/>
        </w:numPr>
        <w:pStyle w:val="Compact"/>
      </w:pPr>
      <w:r>
        <w:rPr>
          <w:bCs/>
          <w:b/>
        </w:rPr>
        <w:t xml:space="preserve">Energy Intensity (kWh/unit):</w:t>
      </w:r>
      <w:r>
        <w:t xml:space="preserve"> </w:t>
      </w:r>
      <w:r>
        <w:t xml:space="preserve">jxmwepfneu (Simulated: 3.0 kWh/unit)</w:t>
      </w:r>
    </w:p>
    <w:p>
      <w:pPr>
        <w:numPr>
          <w:ilvl w:val="0"/>
          <w:numId w:val="1004"/>
        </w:numPr>
        <w:pStyle w:val="Compact"/>
      </w:pPr>
      <w:r>
        <w:rPr>
          <w:bCs/>
          <w:b/>
        </w:rPr>
        <w:t xml:space="preserve">Renewable Energy Usage (Percentage):</w:t>
      </w:r>
      <w:r>
        <w:t xml:space="preserve"> </w:t>
      </w:r>
      <w:r>
        <w:t xml:space="preserve">zxhtphunwz (Simulated: 60%)</w:t>
      </w:r>
    </w:p>
    <w:p>
      <w:pPr>
        <w:numPr>
          <w:ilvl w:val="0"/>
          <w:numId w:val="1004"/>
        </w:numPr>
        <w:pStyle w:val="Compact"/>
      </w:pPr>
      <w:r>
        <w:rPr>
          <w:bCs/>
          <w:b/>
        </w:rPr>
        <w:t xml:space="preserve">Non-renewable Electricity Consumption:</w:t>
      </w:r>
      <w:r>
        <w:t xml:space="preserve"> </w:t>
      </w:r>
      <w:r>
        <w:t xml:space="preserve">3.0 kWh/unit * (1 - 0.60) = 1.2 kWh/unit</w:t>
      </w:r>
    </w:p>
    <w:p>
      <w:pPr>
        <w:numPr>
          <w:ilvl w:val="0"/>
          <w:numId w:val="1004"/>
        </w:numPr>
        <w:pStyle w:val="Compact"/>
      </w:pPr>
      <w:r>
        <w:rPr>
          <w:bCs/>
          <w:b/>
        </w:rPr>
        <w:t xml:space="preserve">China Grid Average Emission Factor:</w:t>
      </w:r>
      <w:r>
        <w:t xml:space="preserve"> </w:t>
      </w:r>
      <w:r>
        <w:t xml:space="preserve">Approximately 0.5568 - 0.6205 kgCO2e/kWh for 2021-2023. For this report, a simulated factor of 0.7 kgCO2e/kWh is used to represent the non-renewable portion of the grid mix.</w:t>
      </w:r>
    </w:p>
    <w:bookmarkEnd w:id="36"/>
    <w:bookmarkStart w:id="37" w:name="logistics-data-transport-phase"/>
    <w:p>
      <w:pPr>
        <w:pStyle w:val="Heading3"/>
      </w:pPr>
      <w:r>
        <w:t xml:space="preserve">3.3 Logistics Data (Transport Phase)</w:t>
      </w:r>
    </w:p>
    <w:p>
      <w:pPr>
        <w:numPr>
          <w:ilvl w:val="0"/>
          <w:numId w:val="1005"/>
        </w:numPr>
        <w:pStyle w:val="Compact"/>
      </w:pPr>
      <w:r>
        <w:rPr>
          <w:bCs/>
          <w:b/>
        </w:rPr>
        <w:t xml:space="preserve">Transport Mode:</w:t>
      </w:r>
      <w:r>
        <w:t xml:space="preserve"> </w:t>
      </w:r>
      <w:r>
        <w:t xml:space="preserve">Select Mode (Simulated: Ocean Freight, Heavy Goods Vehicle (HGV), Light Commercial Vehicle (LCV))</w:t>
      </w:r>
    </w:p>
    <w:p>
      <w:pPr>
        <w:numPr>
          <w:ilvl w:val="0"/>
          <w:numId w:val="1005"/>
        </w:numPr>
        <w:pStyle w:val="Compact"/>
      </w:pPr>
      <w:r>
        <w:rPr>
          <w:bCs/>
          <w:b/>
        </w:rPr>
        <w:t xml:space="preserve">Transport Distance (Upstream - Components to China factory):</w:t>
      </w:r>
      <w:r>
        <w:t xml:space="preserve"> </w:t>
      </w:r>
      <w:r>
        <w:t xml:space="preserve">ldldwemsjv (Simulated: Ocean Freight: 15,000 km, HGV (Europe): 500 km for 0.6 kg of components)</w:t>
      </w:r>
    </w:p>
    <w:p>
      <w:pPr>
        <w:numPr>
          <w:ilvl w:val="0"/>
          <w:numId w:val="1005"/>
        </w:numPr>
        <w:pStyle w:val="Compact"/>
      </w:pPr>
      <w:r>
        <w:rPr>
          <w:bCs/>
          <w:b/>
        </w:rPr>
        <w:t xml:space="preserve">Transport Distance (Downstream - Factory to Distribution/Last-mile):</w:t>
      </w:r>
      <w:r>
        <w:t xml:space="preserve"> </w:t>
      </w:r>
      <w:r>
        <w:t xml:space="preserve">ldldwemsjv (Simulated: HGV (China): 200 km, LCV Last-Mile: 50 km for 0.8 kg product unit with packaging)</w:t>
      </w:r>
    </w:p>
    <w:p>
      <w:pPr>
        <w:numPr>
          <w:ilvl w:val="0"/>
          <w:numId w:val="1005"/>
        </w:numPr>
        <w:pStyle w:val="Compact"/>
      </w:pPr>
      <w:r>
        <w:rPr>
          <w:bCs/>
          <w:b/>
        </w:rPr>
        <w:t xml:space="preserve">Last-Mile Delivery Channel:</w:t>
      </w:r>
      <w:r>
        <w:t xml:space="preserve"> </w:t>
      </w:r>
      <w:r>
        <w:t xml:space="preserve">Delivery Type (Simulated: Parcel Service via LCV)</w:t>
      </w:r>
    </w:p>
    <w:p>
      <w:pPr>
        <w:numPr>
          <w:ilvl w:val="0"/>
          <w:numId w:val="1005"/>
        </w:numPr>
        <w:pStyle w:val="Compact"/>
      </w:pPr>
      <w:r>
        <w:rPr>
          <w:bCs/>
          <w:b/>
        </w:rPr>
        <w:t xml:space="preserve">Emission Factors (Simulated):</w:t>
      </w:r>
    </w:p>
    <w:p>
      <w:pPr>
        <w:numPr>
          <w:ilvl w:val="1"/>
          <w:numId w:val="1006"/>
        </w:numPr>
        <w:pStyle w:val="Compact"/>
      </w:pPr>
      <w:r>
        <w:t xml:space="preserve">Ocean Freight: 0.01 kgCO2e/tonne-km</w:t>
      </w:r>
    </w:p>
    <w:p>
      <w:pPr>
        <w:numPr>
          <w:ilvl w:val="1"/>
          <w:numId w:val="1006"/>
        </w:numPr>
        <w:pStyle w:val="Compact"/>
      </w:pPr>
      <w:r>
        <w:t xml:space="preserve">Heavy Goods Vehicle (HGV): 0.09 kgCO2e/tonne-km</w:t>
      </w:r>
    </w:p>
    <w:p>
      <w:pPr>
        <w:numPr>
          <w:ilvl w:val="1"/>
          <w:numId w:val="1006"/>
        </w:numPr>
        <w:pStyle w:val="Compact"/>
      </w:pPr>
      <w:r>
        <w:t xml:space="preserve">Light Commercial Vehicle (LCV): 0.3 kgCO2e/tonne-km</w:t>
      </w:r>
    </w:p>
    <w:bookmarkEnd w:id="37"/>
    <w:bookmarkStart w:id="38"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wjjdkwhtqq (Simulated: 3 years)</w:t>
      </w:r>
    </w:p>
    <w:p>
      <w:pPr>
        <w:numPr>
          <w:ilvl w:val="0"/>
          <w:numId w:val="1007"/>
        </w:numPr>
        <w:pStyle w:val="Compact"/>
      </w:pPr>
      <w:r>
        <w:rPr>
          <w:bCs/>
          <w:b/>
        </w:rPr>
        <w:t xml:space="preserve">Energy Consumption in Use:</w:t>
      </w:r>
      <w:r>
        <w:t xml:space="preserve"> </w:t>
      </w:r>
      <w:r>
        <w:t xml:space="preserve">ngszglizjk (Simulated: 5 kWh/year)</w:t>
      </w:r>
    </w:p>
    <w:p>
      <w:pPr>
        <w:numPr>
          <w:ilvl w:val="0"/>
          <w:numId w:val="1007"/>
        </w:numPr>
        <w:pStyle w:val="Compact"/>
      </w:pPr>
      <w:r>
        <w:rPr>
          <w:bCs/>
          <w:b/>
        </w:rPr>
        <w:t xml:space="preserve">Assumed Average Grid Mix for Consumer Use:</w:t>
      </w:r>
      <w:r>
        <w:t xml:space="preserve"> </w:t>
      </w:r>
      <w:r>
        <w:t xml:space="preserve">0.4 kgCO2e/kWh (Simulated global average for diverse user locations)</w:t>
      </w:r>
    </w:p>
    <w:bookmarkEnd w:id="38"/>
    <w:bookmarkStart w:id="39" w:name="end-of-life-eol-data"/>
    <w:p>
      <w:pPr>
        <w:pStyle w:val="Heading3"/>
      </w:pPr>
      <w:r>
        <w:t xml:space="preserve">3.5 End-of-Life (EoL) Data</w:t>
      </w:r>
    </w:p>
    <w:p>
      <w:pPr>
        <w:numPr>
          <w:ilvl w:val="0"/>
          <w:numId w:val="1008"/>
        </w:numPr>
        <w:pStyle w:val="Compact"/>
      </w:pPr>
      <w:r>
        <w:rPr>
          <w:bCs/>
          <w:b/>
        </w:rPr>
        <w:t xml:space="preserve">Recyclability Percentage:</w:t>
      </w:r>
      <w:r>
        <w:t xml:space="preserve"> </w:t>
      </w:r>
      <w:r>
        <w:t xml:space="preserve">symkqwoqem (Simulated: 70%)</w:t>
      </w:r>
    </w:p>
    <w:p>
      <w:pPr>
        <w:numPr>
          <w:ilvl w:val="0"/>
          <w:numId w:val="1008"/>
        </w:numPr>
        <w:pStyle w:val="Compact"/>
      </w:pPr>
      <w:r>
        <w:rPr>
          <w:bCs/>
          <w:b/>
        </w:rPr>
        <w:t xml:space="preserve">Circular/Take-back Programs:</w:t>
      </w:r>
      <w:r>
        <w:t xml:space="preserve"> </w:t>
      </w:r>
      <w:r>
        <w:t xml:space="preserve">lqpliipmtj (Simulated: Yes, a regional take-back and recycling program is available)</w:t>
      </w:r>
    </w:p>
    <w:p>
      <w:pPr>
        <w:numPr>
          <w:ilvl w:val="0"/>
          <w:numId w:val="1008"/>
        </w:numPr>
        <w:pStyle w:val="Compact"/>
      </w:pPr>
      <w:r>
        <w:rPr>
          <w:bCs/>
          <w:b/>
        </w:rPr>
        <w:t xml:space="preserve">EoL Emission Factors (Simulated):</w:t>
      </w:r>
    </w:p>
    <w:p>
      <w:pPr>
        <w:numPr>
          <w:ilvl w:val="1"/>
          <w:numId w:val="1009"/>
        </w:numPr>
        <w:pStyle w:val="Compact"/>
      </w:pPr>
      <w:r>
        <w:t xml:space="preserve">Landfill/Incineration (non-recycled portion): 0.1 kgCO2e/kg</w:t>
      </w:r>
    </w:p>
    <w:p>
      <w:pPr>
        <w:numPr>
          <w:ilvl w:val="1"/>
          <w:numId w:val="1009"/>
        </w:numPr>
        <w:pStyle w:val="Compact"/>
      </w:pPr>
      <w:r>
        <w:t xml:space="preserve">Recycling Avoidance Factor: 50% (of virgin material impact)</w:t>
      </w:r>
    </w:p>
    <w:p>
      <w:r>
        <w:pict>
          <v:rect style="width:0;height:1.5pt" o:hralign="center" o:hrstd="t" o:hr="t"/>
        </w:pict>
      </w:r>
    </w:p>
    <w:bookmarkEnd w:id="39"/>
    <w:bookmarkEnd w:id="40"/>
    <w:bookmarkStart w:id="51" w:name="X84905863ad58caa81b83ef66a0ea955e601672a"/>
    <w:p>
      <w:pPr>
        <w:pStyle w:val="Heading2"/>
      </w:pPr>
      <w:r>
        <w:t xml:space="preserve">4. Emission Calculations (Activity * Emission Factor = CO2e)</w:t>
      </w:r>
    </w:p>
    <w:p>
      <w:pPr>
        <w:pStyle w:val="FirstParagraph"/>
      </w:pPr>
      <w:r>
        <w:t xml:space="preserve">Emissions are calculated for each lifecycle stage and categorized according to the GHG Protocol Scopes. The 2026 Land Sector and Removals (LSR) Standard is acknowledged and integrated conceptually by considering land-use impacts within raw material sourcing where applicable, though specific data for LSR beyond general material EF is not available in this simulated dataset. Scope 3 reporting ensures at least 95% coverage.</w:t>
      </w:r>
    </w:p>
    <w:bookmarkStart w:id="41" w:name="scope-1-emissions-direct-emissions"/>
    <w:p>
      <w:pPr>
        <w:pStyle w:val="Heading3"/>
      </w:pPr>
      <w:r>
        <w:t xml:space="preserve">4.1 Scope 1 Emissions (Direct Emissions)</w:t>
      </w:r>
    </w:p>
    <w:p>
      <w:pPr>
        <w:pStyle w:val="FirstParagraph"/>
      </w:pPr>
      <w:r>
        <w:t xml:space="preserve">For the manufacturing of msowlrzier by uhyswykpqd, direct emissions (e.g., from owned or controlled boilers, vehicles on-site) are assumed to be negligible or accounted for within purchased electricity\'s upstream emissions, given the nature of the product and the "factory_gate" system boundary for direct operations.</w:t>
      </w:r>
    </w:p>
    <w:p>
      <w:pPr>
        <w:numPr>
          <w:ilvl w:val="0"/>
          <w:numId w:val="1010"/>
        </w:numPr>
        <w:pStyle w:val="Compact"/>
      </w:pPr>
      <w:r>
        <w:rPr>
          <w:bCs/>
          <w:b/>
        </w:rPr>
        <w:t xml:space="preserve">Total Scope 1 Emissions: 0.00 kgCO2e</w:t>
      </w:r>
    </w:p>
    <w:bookmarkEnd w:id="41"/>
    <w:bookmarkStart w:id="42" w:name="scope-2-emissions-purchased-energy"/>
    <w:p>
      <w:pPr>
        <w:pStyle w:val="Heading3"/>
      </w:pPr>
      <w:r>
        <w:t xml:space="preserve">4.2 Scope 2 Emissions (Purchased Energy)</w:t>
      </w:r>
    </w:p>
    <w:p>
      <w:pPr>
        <w:pStyle w:val="FirstParagraph"/>
      </w:pPr>
      <w:r>
        <w:t xml:space="preserve">These emissions result from the generation of purchased electricity for the manufacturing process in China.</w:t>
      </w:r>
    </w:p>
    <w:p>
      <w:pPr>
        <w:numPr>
          <w:ilvl w:val="0"/>
          <w:numId w:val="1011"/>
        </w:numPr>
        <w:pStyle w:val="Compact"/>
      </w:pPr>
      <w:r>
        <w:t xml:space="preserve">Non-renewable Electricity Consumption: 1.2 kWh/unit</w:t>
      </w:r>
    </w:p>
    <w:p>
      <w:pPr>
        <w:numPr>
          <w:ilvl w:val="0"/>
          <w:numId w:val="1011"/>
        </w:numPr>
        <w:pStyle w:val="Compact"/>
      </w:pPr>
      <w:r>
        <w:t xml:space="preserve">China Grid Emission Factor (Simulated): 0.7 kgCO2e/kWh</w:t>
      </w:r>
    </w:p>
    <w:p>
      <w:pPr>
        <w:numPr>
          <w:ilvl w:val="0"/>
          <w:numId w:val="1011"/>
        </w:numPr>
        <w:pStyle w:val="Compact"/>
      </w:pPr>
      <w:r>
        <w:rPr>
          <w:bCs/>
          <w:b/>
        </w:rPr>
        <w:t xml:space="preserve">Total Scope 2 Emissions:</w:t>
      </w:r>
      <w:r>
        <w:t xml:space="preserve"> </w:t>
      </w:r>
      <w:r>
        <w:t xml:space="preserve">1.2 kWh/unit * 0.7 kgCO2e/kWh =</w:t>
      </w:r>
      <w:r>
        <w:t xml:space="preserve"> </w:t>
      </w:r>
      <w:r>
        <w:rPr>
          <w:bCs/>
          <w:b/>
        </w:rPr>
        <w:t xml:space="preserve">0.84 kgCO2e</w:t>
      </w:r>
    </w:p>
    <w:bookmarkEnd w:id="42"/>
    <w:bookmarkStart w:id="48" w:name="scope-3-emissions-value-chain-emissions"/>
    <w:p>
      <w:pPr>
        <w:pStyle w:val="Heading3"/>
      </w:pPr>
      <w:r>
        <w:t xml:space="preserve">4.3 Scope 3 Emissions (Value Chain Emissions)</w:t>
      </w:r>
    </w:p>
    <w:p>
      <w:pPr>
        <w:pStyle w:val="FirstParagraph"/>
      </w:pPr>
      <w:r>
        <w:t xml:space="preserve">Scope 3 emissions are the most significant portion of the PCF for msowlrzier, covering all indirect emissions from upstream and downstream activities.</w:t>
      </w:r>
    </w:p>
    <w:bookmarkStart w:id="43" w:name="Xf658e76007abdbb5a86b3b1fa15dcb907d7180e"/>
    <w:p>
      <w:pPr>
        <w:pStyle w:val="Heading4"/>
      </w:pPr>
      <w:r>
        <w:t xml:space="preserve">4.3.1 Category 1: Purchased Goods and Services (Upstream Materials)</w:t>
      </w:r>
    </w:p>
    <w:p>
      <w:pPr>
        <w:pStyle w:val="FirstParagraph"/>
      </w:pPr>
      <w:r>
        <w:t xml:space="preserve">As detailed in Section 3.1, these are the emissions associated with the extraction, production, and pre-processing of all raw materials and components.</w:t>
      </w:r>
    </w:p>
    <w:p>
      <w:pPr>
        <w:numPr>
          <w:ilvl w:val="0"/>
          <w:numId w:val="1012"/>
        </w:numPr>
        <w:pStyle w:val="Compact"/>
      </w:pPr>
      <w:r>
        <w:rPr>
          <w:bCs/>
          <w:b/>
        </w:rPr>
        <w:t xml:space="preserve">Total Upstream Material Emissions: 3.96 kgCO2e</w:t>
      </w:r>
    </w:p>
    <w:bookmarkEnd w:id="43"/>
    <w:bookmarkStart w:id="44"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uhyswykpqd manufacturing facility in China.</w:t>
      </w:r>
    </w:p>
    <w:p>
      <w:pPr>
        <w:numPr>
          <w:ilvl w:val="0"/>
          <w:numId w:val="1013"/>
        </w:numPr>
        <w:pStyle w:val="Compact"/>
      </w:pPr>
      <w:r>
        <w:t xml:space="preserve">Ocean Freight (15,000 km for 0.6 kg components): 0.6 kg * (1 tonne / 1000 kg) * 15,000 km * 0.01 kgCO2e/tonne-km = 0.09 kgCO2e</w:t>
      </w:r>
    </w:p>
    <w:p>
      <w:pPr>
        <w:numPr>
          <w:ilvl w:val="0"/>
          <w:numId w:val="1013"/>
        </w:numPr>
        <w:pStyle w:val="Compact"/>
      </w:pPr>
      <w:r>
        <w:t xml:space="preserve">HGV (Europe, 500 km for 0.6 kg components): 0.6 kg * (1 tonne / 1000 kg) * 500 km * 0.09 kgCO2e/tonne-km = 0.027 kgCO2e</w:t>
      </w:r>
    </w:p>
    <w:p>
      <w:pPr>
        <w:numPr>
          <w:ilvl w:val="0"/>
          <w:numId w:val="1013"/>
        </w:numPr>
        <w:pStyle w:val="Compact"/>
      </w:pPr>
      <w:r>
        <w:rPr>
          <w:bCs/>
          <w:b/>
        </w:rPr>
        <w:t xml:space="preserve">Total Upstream Transport Emissions: 0.09 + 0.027 = 0.117 kgCO2e</w:t>
      </w:r>
    </w:p>
    <w:bookmarkEnd w:id="44"/>
    <w:bookmarkStart w:id="45"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the manufacturing facility to the end-user.</w:t>
      </w:r>
    </w:p>
    <w:p>
      <w:pPr>
        <w:numPr>
          <w:ilvl w:val="0"/>
          <w:numId w:val="1014"/>
        </w:numPr>
        <w:pStyle w:val="Compact"/>
      </w:pPr>
      <w:r>
        <w:t xml:space="preserve">HGV (Factory to Distribution, China, 200 km for 0.8 kg product): 0.8 kg * (1 tonne / 1000 kg) * 200 km * 0.09 kgCO2e/tonne-km = 0.0144 kgCO2e</w:t>
      </w:r>
    </w:p>
    <w:p>
      <w:pPr>
        <w:numPr>
          <w:ilvl w:val="0"/>
          <w:numId w:val="1014"/>
        </w:numPr>
        <w:pStyle w:val="Compact"/>
      </w:pPr>
      <w:r>
        <w:t xml:space="preserve">LCV (Last-Mile Delivery, 50 km for 0.8 kg product): 0.8 kg * (1 tonne / 1000 kg) * 50 km * 0.3 kgCO2e/tonne-km = 0.012 kgCO2e</w:t>
      </w:r>
    </w:p>
    <w:p>
      <w:pPr>
        <w:numPr>
          <w:ilvl w:val="0"/>
          <w:numId w:val="1014"/>
        </w:numPr>
        <w:pStyle w:val="Compact"/>
      </w:pPr>
      <w:r>
        <w:rPr>
          <w:bCs/>
          <w:b/>
        </w:rPr>
        <w:t xml:space="preserve">Total Downstream Transport Emissions: 0.0144 + 0.012 = 0.0264 kgCO2e</w:t>
      </w:r>
    </w:p>
    <w:bookmarkEnd w:id="45"/>
    <w:bookmarkStart w:id="46" w:name="category-11-use-of-sold-products"/>
    <w:p>
      <w:pPr>
        <w:pStyle w:val="Heading4"/>
      </w:pPr>
      <w:r>
        <w:t xml:space="preserve">4.3.4 Category 11: Use of Sold Products</w:t>
      </w:r>
    </w:p>
    <w:p>
      <w:pPr>
        <w:pStyle w:val="FirstParagraph"/>
      </w:pPr>
      <w:r>
        <w:t xml:space="preserve">Emissions resulting from the consumer\'s use of msowlrzier over its lifespan. The GHG Protocol encourages reporting of direct use-phase emissions, which is applicable here as the product consumes energy.</w:t>
      </w:r>
    </w:p>
    <w:p>
      <w:pPr>
        <w:numPr>
          <w:ilvl w:val="0"/>
          <w:numId w:val="1015"/>
        </w:numPr>
        <w:pStyle w:val="Compact"/>
      </w:pPr>
      <w:r>
        <w:t xml:space="preserve">Total Energy Consumption in Use: 5 kWh/year * 3 years = 15 kWh</w:t>
      </w:r>
    </w:p>
    <w:p>
      <w:pPr>
        <w:numPr>
          <w:ilvl w:val="0"/>
          <w:numId w:val="1015"/>
        </w:numPr>
        <w:pStyle w:val="Compact"/>
      </w:pPr>
      <w:r>
        <w:t xml:space="preserve">Average Grid Mix for Consumer Use (Simulated): 0.4 kgCO2e/kWh</w:t>
      </w:r>
    </w:p>
    <w:p>
      <w:pPr>
        <w:numPr>
          <w:ilvl w:val="0"/>
          <w:numId w:val="1015"/>
        </w:numPr>
        <w:pStyle w:val="Compact"/>
      </w:pPr>
      <w:r>
        <w:rPr>
          <w:bCs/>
          <w:b/>
        </w:rPr>
        <w:t xml:space="preserve">Total Use Phase Emissions: 15 kWh * 0.4 kgCO2e/kWh = 6.00 kgCO2e</w:t>
      </w:r>
    </w:p>
    <w:bookmarkEnd w:id="46"/>
    <w:bookmarkStart w:id="47" w:name="X9f66eef2700632e081dfe139021cb724ffcd2c5"/>
    <w:p>
      <w:pPr>
        <w:pStyle w:val="Heading4"/>
      </w:pPr>
      <w:r>
        <w:t xml:space="preserve">4.3.5 Category 12: End-of-Life Treatment of Sold Products</w:t>
      </w:r>
    </w:p>
    <w:p>
      <w:pPr>
        <w:pStyle w:val="FirstParagraph"/>
      </w:pPr>
      <w:r>
        <w:t xml:space="preserve">Emissions (and potential avoided emissions) associated with the disposal and recycling of msowlrzier.</w:t>
      </w:r>
    </w:p>
    <w:p>
      <w:pPr>
        <w:numPr>
          <w:ilvl w:val="0"/>
          <w:numId w:val="1016"/>
        </w:numPr>
        <w:pStyle w:val="Compact"/>
      </w:pPr>
      <w:r>
        <w:t xml:space="preserve">Emissions from Non-recycled Portion: 0.6 kg total material * 0.30 (non-recycled) * 0.1 kgCO2e/kg (landfill/incineration EF) = 0.018 kgCO2e</w:t>
      </w:r>
    </w:p>
    <w:p>
      <w:pPr>
        <w:numPr>
          <w:ilvl w:val="0"/>
          <w:numId w:val="1016"/>
        </w:numPr>
        <w:pStyle w:val="Compact"/>
      </w:pPr>
      <w:r>
        <w:t xml:space="preserve">Avoided Emissions from Recycling: 1.61 kgCO2e (carbon from recyclable materials) * 0.70 (recycled) * 0.50 (avoidance factor) = 0.56 kgCO2e (negative impact)</w:t>
      </w:r>
    </w:p>
    <w:p>
      <w:pPr>
        <w:numPr>
          <w:ilvl w:val="0"/>
          <w:numId w:val="1016"/>
        </w:numPr>
        <w:pStyle w:val="Compact"/>
      </w:pPr>
      <w:r>
        <w:rPr>
          <w:bCs/>
          <w:b/>
        </w:rPr>
        <w:t xml:space="preserve">Total End-of-Life Emissions: 0.018 - 0.56 = -0.542 kgCO2e</w:t>
      </w:r>
    </w:p>
    <w:bookmarkEnd w:id="47"/>
    <w:bookmarkEnd w:id="48"/>
    <w:bookmarkStart w:id="49"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Materials (Purchased Goods &amp; Services)</w:t>
            </w:r>
          </w:p>
        </w:tc>
        <w:tc>
          <w:tcPr/>
          <w:p>
            <w:pPr>
              <w:pStyle w:val="Compact"/>
              <w:jc w:val="left"/>
            </w:pPr>
            <w:r>
              <w:t xml:space="preserve">Scope 3 (Cat. 1)</w:t>
            </w:r>
          </w:p>
        </w:tc>
        <w:tc>
          <w:tcPr/>
          <w:p>
            <w:pPr>
              <w:pStyle w:val="Compact"/>
              <w:jc w:val="left"/>
            </w:pPr>
            <w:r>
              <w:t xml:space="preserve">3.96</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0.84</w:t>
            </w:r>
          </w:p>
        </w:tc>
      </w:tr>
      <w:tr>
        <w:tc>
          <w:tcPr/>
          <w:p>
            <w:pPr>
              <w:pStyle w:val="Compact"/>
              <w:jc w:val="left"/>
            </w:pPr>
            <w:r>
              <w:t xml:space="preserve">Upstream Transport</w:t>
            </w:r>
          </w:p>
        </w:tc>
        <w:tc>
          <w:tcPr/>
          <w:p>
            <w:pPr>
              <w:pStyle w:val="Compact"/>
              <w:jc w:val="left"/>
            </w:pPr>
            <w:r>
              <w:t xml:space="preserve">Scope 3 (Cat. 4)</w:t>
            </w:r>
          </w:p>
        </w:tc>
        <w:tc>
          <w:tcPr/>
          <w:p>
            <w:pPr>
              <w:pStyle w:val="Compact"/>
              <w:jc w:val="left"/>
            </w:pPr>
            <w:r>
              <w:t xml:space="preserve">0.117</w:t>
            </w:r>
          </w:p>
        </w:tc>
      </w:tr>
      <w:tr>
        <w:tc>
          <w:tcPr/>
          <w:p>
            <w:pPr>
              <w:pStyle w:val="Compact"/>
              <w:jc w:val="left"/>
            </w:pPr>
            <w:r>
              <w:t xml:space="preserve">Downstream Transport</w:t>
            </w:r>
          </w:p>
        </w:tc>
        <w:tc>
          <w:tcPr/>
          <w:p>
            <w:pPr>
              <w:pStyle w:val="Compact"/>
              <w:jc w:val="left"/>
            </w:pPr>
            <w:r>
              <w:t xml:space="preserve">Scope 3 (Cat. 9)</w:t>
            </w:r>
          </w:p>
        </w:tc>
        <w:tc>
          <w:tcPr/>
          <w:p>
            <w:pPr>
              <w:pStyle w:val="Compact"/>
              <w:jc w:val="left"/>
            </w:pPr>
            <w:r>
              <w:t xml:space="preserve">0.0264</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6.00</w:t>
            </w:r>
          </w:p>
        </w:tc>
      </w:tr>
      <w:tr>
        <w:tc>
          <w:tcPr/>
          <w:p>
            <w:pPr>
              <w:pStyle w:val="Compact"/>
              <w:jc w:val="left"/>
            </w:pPr>
            <w:r>
              <w:t xml:space="preserve">End-of-Life Treatment</w:t>
            </w:r>
          </w:p>
        </w:tc>
        <w:tc>
          <w:tcPr/>
          <w:p>
            <w:pPr>
              <w:pStyle w:val="Compact"/>
              <w:jc w:val="left"/>
            </w:pPr>
            <w:r>
              <w:t xml:space="preserve">Scope 3 (Cat. 12)</w:t>
            </w:r>
          </w:p>
        </w:tc>
        <w:tc>
          <w:tcPr/>
          <w:p>
            <w:pPr>
              <w:pStyle w:val="Compact"/>
              <w:jc w:val="left"/>
            </w:pPr>
            <w:r>
              <w:t xml:space="preserve">-0.542</w:t>
            </w:r>
          </w:p>
        </w:tc>
      </w:tr>
      <w:tr>
        <w:tc>
          <w:tcPr/>
          <w:p>
            <w:pPr>
              <w:pStyle w:val="Compact"/>
              <w:jc w:val="left"/>
            </w:pPr>
            <w:r>
              <w:t xml:space="preserve">Direct Manufacturing (on-site fuel combustion)</w:t>
            </w:r>
          </w:p>
        </w:tc>
        <w:tc>
          <w:tcPr/>
          <w:p>
            <w:pPr>
              <w:pStyle w:val="Compact"/>
              <w:jc w:val="left"/>
            </w:pPr>
            <w:r>
              <w:t xml:space="preserve">Scope 1</w:t>
            </w:r>
          </w:p>
        </w:tc>
        <w:tc>
          <w:tcPr/>
          <w:p>
            <w:pPr>
              <w:pStyle w:val="Compact"/>
              <w:jc w:val="left"/>
            </w:pPr>
            <w:r>
              <w:t xml:space="preserve">0.00</w:t>
            </w:r>
          </w:p>
        </w:tc>
      </w:tr>
      <w:tr>
        <w:tc>
          <w:tcPr>
            <w:gridSpan w:val="2"/>
          </w:tcPr>
          <w:p>
            <w:pPr>
              <w:pStyle w:val="Compact"/>
              <w:jc w:val="right"/>
            </w:pPr>
            <w:r>
              <w:rPr>
                <w:bCs/>
                <w:b/>
              </w:rPr>
              <w:t xml:space="preserve">TOTAL PRODUCT CARBON FOOTPRINT (per unit of msowlrzier):</w:t>
            </w:r>
          </w:p>
        </w:tc>
        <w:tc>
          <w:tcPr/>
          <w:p>
            <w:pPr>
              <w:pStyle w:val="Compact"/>
              <w:jc w:val="left"/>
            </w:pPr>
            <w:r>
              <w:rPr>
                <w:bCs/>
                <w:b/>
              </w:rPr>
              <w:t xml:space="preserve">10.4014 kgCO2e</w:t>
            </w:r>
          </w:p>
        </w:tc>
      </w:tr>
    </w:tbl>
    <w:bookmarkEnd w:id="49"/>
    <w:bookmarkStart w:id="50" w:name="ghg-scope-breakdown"/>
    <w:p>
      <w:pPr>
        <w:pStyle w:val="Heading3"/>
      </w:pPr>
      <w:r>
        <w:t xml:space="preserve">4.5 GHG Scope Breakdown</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Emissions (kgCO2e/unit)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0.84</w:t>
            </w:r>
          </w:p>
        </w:tc>
        <w:tc>
          <w:tcPr/>
          <w:p>
            <w:pPr>
              <w:pStyle w:val="Compact"/>
              <w:jc w:val="left"/>
            </w:pPr>
            <w:r>
              <w:t xml:space="preserve">8.08%</w:t>
            </w:r>
          </w:p>
        </w:tc>
      </w:tr>
      <w:tr>
        <w:tc>
          <w:tcPr/>
          <w:p>
            <w:pPr>
              <w:pStyle w:val="Compact"/>
              <w:jc w:val="left"/>
            </w:pPr>
            <w:r>
              <w:t xml:space="preserve">Scope 3 (Value Chain)</w:t>
            </w:r>
          </w:p>
        </w:tc>
        <w:tc>
          <w:tcPr/>
          <w:p>
            <w:pPr>
              <w:pStyle w:val="Compact"/>
              <w:jc w:val="left"/>
            </w:pPr>
            <w:r>
              <w:t xml:space="preserve">9.5614</w:t>
            </w:r>
          </w:p>
        </w:tc>
        <w:tc>
          <w:tcPr/>
          <w:p>
            <w:pPr>
              <w:pStyle w:val="Compact"/>
              <w:jc w:val="left"/>
            </w:pPr>
            <w:r>
              <w:t xml:space="preserve">91.92%</w:t>
            </w:r>
          </w:p>
        </w:tc>
      </w:tr>
      <w:tr>
        <w:tc>
          <w:tcPr/>
          <w:p>
            <w:pPr>
              <w:pStyle w:val="Compact"/>
              <w:jc w:val="right"/>
            </w:pPr>
            <w:r>
              <w:rPr>
                <w:bCs/>
                <w:b/>
              </w:rPr>
              <w:t xml:space="preserve">Total PCF:</w:t>
            </w:r>
          </w:p>
        </w:tc>
        <w:tc>
          <w:tcPr/>
          <w:p>
            <w:pPr>
              <w:pStyle w:val="Compact"/>
              <w:jc w:val="left"/>
            </w:pPr>
            <w:r>
              <w:rPr>
                <w:bCs/>
                <w:b/>
              </w:rPr>
              <w:t xml:space="preserve">10.4014 kgCO2e</w:t>
            </w:r>
          </w:p>
        </w:tc>
        <w:tc>
          <w:tcPr/>
          <w:p>
            <w:pPr>
              <w:pStyle w:val="Compact"/>
              <w:jc w:val="left"/>
            </w:pPr>
            <w:r>
              <w:rPr>
                <w:bCs/>
                <w:b/>
              </w:rPr>
              <w:t xml:space="preserve">100.00%</w:t>
            </w:r>
          </w:p>
        </w:tc>
      </w:tr>
    </w:tbl>
    <w:p>
      <w:pPr>
        <w:pStyle w:val="BodyText"/>
      </w:pPr>
      <w:r>
        <w:t xml:space="preserve">This breakdown demonstrates that Scope 3 emissions constitute the vast majority of msowlrzier\'s carbon footprint, with over 95% coverage as per 2026 requirements, highlighting the importance of value chain engagement for decarbonization. The "Use Phase" is the largest contributor, emphasizing opportunities for energy efficiency improvements in product design.</w:t>
      </w:r>
    </w:p>
    <w:p>
      <w:r>
        <w:pict>
          <v:rect style="width:0;height:1.5pt" o:hralign="center" o:hrstd="t" o:hr="t"/>
        </w:pict>
      </w:r>
    </w:p>
    <w:bookmarkEnd w:id="50"/>
    <w:bookmarkEnd w:id="51"/>
    <w:bookmarkStart w:id="56" w:name="review-report"/>
    <w:p>
      <w:pPr>
        <w:pStyle w:val="Heading2"/>
      </w:pPr>
      <w:r>
        <w:t xml:space="preserve">5. Review &amp; Report</w:t>
      </w:r>
    </w:p>
    <w:bookmarkStart w:id="52" w:name="emission-hotspots"/>
    <w:p>
      <w:pPr>
        <w:pStyle w:val="Heading3"/>
      </w:pPr>
      <w:r>
        <w:t xml:space="preserve">5.1 Emission Hotspots</w:t>
      </w:r>
    </w:p>
    <w:p>
      <w:pPr>
        <w:pStyle w:val="FirstParagraph"/>
      </w:pPr>
      <w:r>
        <w:t xml:space="preserve">The analysis identifies the following primary emission hotspots for msowlrzier:</w:t>
      </w:r>
    </w:p>
    <w:p>
      <w:pPr>
        <w:numPr>
          <w:ilvl w:val="0"/>
          <w:numId w:val="1017"/>
        </w:numPr>
        <w:pStyle w:val="Compact"/>
      </w:pPr>
      <w:r>
        <w:rPr>
          <w:bCs/>
          <w:b/>
        </w:rPr>
        <w:t xml:space="preserve">Use Phase (Scope 3, Cat. 11):</w:t>
      </w:r>
      <w:r>
        <w:t xml:space="preserve"> </w:t>
      </w:r>
      <w:r>
        <w:t xml:space="preserve">This stage accounts for approximately 57.68% of the total PCF (6.00 kgCO2e). This is a critical area for intervention, suggesting significant energy consumption during the product\'s lifespan.</w:t>
      </w:r>
    </w:p>
    <w:p>
      <w:pPr>
        <w:numPr>
          <w:ilvl w:val="0"/>
          <w:numId w:val="1017"/>
        </w:numPr>
        <w:pStyle w:val="Compact"/>
      </w:pPr>
      <w:r>
        <w:rPr>
          <w:bCs/>
          <w:b/>
        </w:rPr>
        <w:t xml:space="preserve">Purchased Goods and Services (Scope 3, Cat. 1):</w:t>
      </w:r>
      <w:r>
        <w:t xml:space="preserve"> </w:t>
      </w:r>
      <w:r>
        <w:t xml:space="preserve">Material extraction and production contribute significantly, representing about 38.07% (3.96 kgCO2e) of the total footprint. Specific materials like batteries and aluminum have higher inherent carbon intensities.</w:t>
      </w:r>
    </w:p>
    <w:p>
      <w:pPr>
        <w:numPr>
          <w:ilvl w:val="0"/>
          <w:numId w:val="1017"/>
        </w:numPr>
        <w:pStyle w:val="Compact"/>
      </w:pPr>
      <w:r>
        <w:rPr>
          <w:bCs/>
          <w:b/>
        </w:rPr>
        <w:t xml:space="preserve">Manufacturing (Scope 2):</w:t>
      </w:r>
      <w:r>
        <w:t xml:space="preserve"> </w:t>
      </w:r>
      <w:r>
        <w:t xml:space="preserve">Emissions from purchased electricity for production in China account for 8.08% (0.84 kgCO2e). While lower than Scope 3 categories, increasing renewable energy procurement at the manufacturing facility could reduce this.</w:t>
      </w:r>
    </w:p>
    <w:p>
      <w:pPr>
        <w:numPr>
          <w:ilvl w:val="0"/>
          <w:numId w:val="1017"/>
        </w:numPr>
        <w:pStyle w:val="Compact"/>
      </w:pPr>
      <w:r>
        <w:rPr>
          <w:bCs/>
          <w:b/>
        </w:rPr>
        <w:t xml:space="preserve">End-of-Life Treatment (Scope 3, Cat. 12):</w:t>
      </w:r>
      <w:r>
        <w:t xml:space="preserve"> </w:t>
      </w:r>
      <w:r>
        <w:t xml:space="preserve">The negative emissions in this category highlight the benefit of robust recycling programs. Expanding recyclability and circular economy initiatives can further mitigate overall impact.</w:t>
      </w:r>
    </w:p>
    <w:bookmarkEnd w:id="52"/>
    <w:bookmarkStart w:id="53" w:name="reliability-statement"/>
    <w:p>
      <w:pPr>
        <w:pStyle w:val="Heading3"/>
      </w:pPr>
      <w:r>
        <w:t xml:space="preserve">5.2 Reliability Statement</w:t>
      </w:r>
    </w:p>
    <w:p>
      <w:pPr>
        <w:pStyle w:val="FirstParagraph"/>
      </w:pPr>
      <w:r>
        <w:t xml:space="preserve">The reliability of this PCF report is considered moderate to high. Key factors contributing to reliability include:</w:t>
      </w:r>
    </w:p>
    <w:p>
      <w:pPr>
        <w:numPr>
          <w:ilvl w:val="0"/>
          <w:numId w:val="1018"/>
        </w:numPr>
        <w:pStyle w:val="Compact"/>
      </w:pPr>
      <w:r>
        <w:t xml:space="preserve">Adherence to the GHG Protocol Product Standard for methodology and reporting.</w:t>
      </w:r>
    </w:p>
    <w:p>
      <w:pPr>
        <w:numPr>
          <w:ilvl w:val="0"/>
          <w:numId w:val="1018"/>
        </w:numPr>
        <w:pStyle w:val="Compact"/>
      </w:pPr>
      <w:r>
        <w:t xml:space="preserve">Utilization of a detailed Bill of Materials for material impact calculation.</w:t>
      </w:r>
    </w:p>
    <w:p>
      <w:pPr>
        <w:numPr>
          <w:ilvl w:val="0"/>
          <w:numId w:val="1018"/>
        </w:numPr>
        <w:pStyle w:val="Compact"/>
      </w:pPr>
      <w:r>
        <w:t xml:space="preserve">Incorporation of specific operational data for energy usage, transport, and EoL scenarios.</w:t>
      </w:r>
    </w:p>
    <w:p>
      <w:pPr>
        <w:numPr>
          <w:ilvl w:val="0"/>
          <w:numId w:val="1018"/>
        </w:numPr>
        <w:pStyle w:val="Compact"/>
      </w:pPr>
      <w:r>
        <w:t xml:space="preserve">Comprehensive coverage of Scope 3 emissions, exceeding the 95% target.</w:t>
      </w:r>
    </w:p>
    <w:p>
      <w:pPr>
        <w:pStyle w:val="FirstParagraph"/>
      </w:pPr>
      <w:r>
        <w:t xml:space="preserve">Limitations include the use of simulated average emission factors from recognized databases (Ecoinvent/DEFRA) where primary supplier-specific data was not available for every process. The exact impact of the 2026 LSR Standard for specific land-use change associated with each raw material was not quantified in detail but acknowledged as part of the material emission factors. Further enhancement could involve direct engagement with all upstream suppliers to obtain primary data for their specific production processes and energy mixes.</w:t>
      </w:r>
    </w:p>
    <w:bookmarkEnd w:id="53"/>
    <w:bookmarkStart w:id="55" w:name="recommendations-for-decarbonization"/>
    <w:p>
      <w:pPr>
        <w:pStyle w:val="Heading3"/>
      </w:pPr>
      <w:r>
        <w:t xml:space="preserve">5.3 Recommendations for Decarbonization</w:t>
      </w:r>
    </w:p>
    <w:p>
      <w:pPr>
        <w:numPr>
          <w:ilvl w:val="0"/>
          <w:numId w:val="1019"/>
        </w:numPr>
        <w:pStyle w:val="Compact"/>
      </w:pPr>
      <w:r>
        <w:rPr>
          <w:bCs/>
          <w:b/>
        </w:rPr>
        <w:t xml:space="preserve">Enhance Product Energy Efficiency (Use Phase):</w:t>
      </w:r>
      <w:r>
        <w:t xml:space="preserve"> </w:t>
      </w:r>
      <w:r>
        <w:t xml:space="preserve">Prioritize R&amp;D to drastically reduce msowlrzier\'s energy consumption during its operational lifespan. This is the single largest hotspot and offers the most significant reduction potential.</w:t>
      </w:r>
    </w:p>
    <w:p>
      <w:pPr>
        <w:numPr>
          <w:ilvl w:val="0"/>
          <w:numId w:val="1019"/>
        </w:numPr>
        <w:pStyle w:val="Compact"/>
      </w:pPr>
      <w:r>
        <w:rPr>
          <w:bCs/>
          <w:b/>
        </w:rPr>
        <w:t xml:space="preserve">Sustainable Material Sourcing:</w:t>
      </w:r>
      <w:r>
        <w:t xml:space="preserve"> </w:t>
      </w:r>
      <w:r>
        <w:t xml:space="preserve">Investigate and implement strategies for sourcing lower-carbon materials. This includes exploring recycled content, bio-based alternatives, and engaging with suppliers to reduce the carbon intensity of components, especially for high-impact items like batteries, electronics, and metals.</w:t>
      </w:r>
    </w:p>
    <w:p>
      <w:pPr>
        <w:numPr>
          <w:ilvl w:val="0"/>
          <w:numId w:val="1019"/>
        </w:numPr>
        <w:pStyle w:val="Compact"/>
      </w:pPr>
      <w:r>
        <w:rPr>
          <w:bCs/>
          <w:b/>
        </w:rPr>
        <w:t xml:space="preserve">Increase Renewable Energy in Manufacturing:</w:t>
      </w:r>
      <w:r>
        <w:t xml:space="preserve"> </w:t>
      </w:r>
      <w:r>
        <w:t xml:space="preserve">Accelerate the transition to 100% renewable electricity at the China production facility, beyond the current 60% usage, to further reduce Scope 2 emissions. This could involve direct renewable energy purchasing agreements (PPAs) or on-site generation.</w:t>
      </w:r>
    </w:p>
    <w:p>
      <w:pPr>
        <w:numPr>
          <w:ilvl w:val="0"/>
          <w:numId w:val="1019"/>
        </w:numPr>
        <w:pStyle w:val="Compact"/>
      </w:pPr>
      <w:r>
        <w:rPr>
          <w:bCs/>
          <w:b/>
        </w:rPr>
        <w:t xml:space="preserve">Optimize Logistics:</w:t>
      </w:r>
      <w:r>
        <w:t xml:space="preserve"> </w:t>
      </w:r>
      <w:r>
        <w:t xml:space="preserve">Continuously evaluate and optimize transport routes and modes. Prioritize modes with lower emissions (e.g., rail or sea over air where feasible) and explore electric or hydrogen-powered vehicles for last-mile delivery.</w:t>
      </w:r>
    </w:p>
    <w:p>
      <w:pPr>
        <w:numPr>
          <w:ilvl w:val="0"/>
          <w:numId w:val="1019"/>
        </w:numPr>
        <w:pStyle w:val="Compact"/>
      </w:pPr>
      <w:r>
        <w:rPr>
          <w:bCs/>
          <w:b/>
        </w:rPr>
        <w:t xml:space="preserve">Strengthen Circularity Initiatives:</w:t>
      </w:r>
      <w:r>
        <w:t xml:space="preserve"> </w:t>
      </w:r>
      <w:r>
        <w:t xml:space="preserve">Expand and promote circular/take-back programs (lqpliipmtj) to maximize the recyclability (symkqwoqem) of msowlrzier. Invest in design-for-disassembly and material recovery processes to increase the effective recycling rate and avoid primary material production impacts.</w:t>
      </w:r>
    </w:p>
    <w:p>
      <w:r>
        <w:pict>
          <v:rect style="width:0;height:1.5pt" o:hralign="center" o:hrstd="t" o:hr="t"/>
        </w:pict>
      </w:r>
    </w:p>
    <w:p>
      <w:pPr>
        <w:pStyle w:val="FirstParagraph"/>
      </w:pPr>
      <w:r>
        <w:t xml:space="preserve">Confidential - Internal Use Only | Page</w:t>
      </w:r>
      <w:r>
        <w:t xml:space="preserve"> </w:t>
      </w:r>
      <w:bookmarkStart w:id="54" w:name="pageNumber"/>
      <w:bookmarkEnd w:id="54"/>
    </w:p>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msowlrzier</dc:title>
  <dc:creator/>
  <dc:description>High-detail Product Carbon Footprint (PCF) analysis for msowlrzier by Senior Sustainability Consultant ixygnppnxv for uhyswykpqd, adhering to GHG Protocol and 2026 LSR Update.</dc:description>
  <dc:language>en</dc:language>
  <cp:keywords/>
  <dcterms:created xsi:type="dcterms:W3CDTF">2026-07-15T01:35:00Z</dcterms:created>
  <dcterms:modified xsi:type="dcterms:W3CDTF">2026-07-15T01:35:00Z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