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msojmhsyzu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msojmhsyzu</w:t>
      </w:r>
    </w:p>
    <w:p>
      <w:pPr>
        <w:pStyle w:val="BodyText"/>
      </w:pPr>
      <w:r>
        <w:rPr>
          <w:bCs/>
          <w:b/>
        </w:rPr>
        <w:t xml:space="preserve">Company Name:</w:t>
      </w:r>
      <w:r>
        <w:t xml:space="preserve"> </w:t>
      </w:r>
      <w:r>
        <w:t xml:space="preserve">stswirtpne</w:t>
      </w:r>
    </w:p>
    <w:p>
      <w:pPr>
        <w:pStyle w:val="BodyText"/>
      </w:pPr>
      <w:r>
        <w:rPr>
          <w:bCs/>
          <w:b/>
        </w:rPr>
        <w:t xml:space="preserve">Senior Sustainability Consultant:</w:t>
      </w:r>
      <w:r>
        <w:t xml:space="preserve"> </w:t>
      </w:r>
      <w:r>
        <w:t xml:space="preserve">snpshqkzqf</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June 4, 2026</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Start w:id="43" w:name="Xd1eae78751bc87fd601df65ea6573e1162780ad"/>
    <w:p>
      <w:pPr>
        <w:pStyle w:val="Heading1"/>
      </w:pPr>
      <w:r>
        <w:t xml:space="preserve">Product Carbon Footprint Analysis for msojmhsyzu</w:t>
      </w:r>
    </w:p>
    <w:bookmarkStart w:id="21" w:name="generated-date-june-4-2026"/>
    <w:p>
      <w:pPr>
        <w:pStyle w:val="Heading2"/>
      </w:pPr>
      <w:r>
        <w:t xml:space="preserve">Generated Date: June 4,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msojmhsyzu, manufactured by stswirtpne. The analysis, conducted by Senior Sustainability Consultant snpshqkzqf, adheres strictly to the GHG Protocol, incorporating the latest 2026 Land Sector and Removals (LSR) Standard update and ensuring comprehensive Scope 3 coverage. The primary objective is to quantify the greenhouse gas (GHG) emissions across the product\'s lifecycle from raw material acquisition to end-of-life, identify key emission hotspots, and provide a foundation for targeted reduction strategies. The study utilizes a cradle-to-gate system boundary for direct manufacturing processes and extends to downstream stages for the use phase and end-of-life, leveraging both primary data (where provided) and industry-standard emission factors.</w:t>
      </w:r>
    </w:p>
    <w:bookmarkEnd w:id="22"/>
    <w:bookmarkStart w:id="23" w:name="define-scope"/>
    <w:p>
      <w:pPr>
        <w:pStyle w:val="Heading2"/>
      </w:pPr>
      <w:r>
        <w:t xml:space="preserve">1. Define Scope</w:t>
      </w:r>
    </w:p>
    <w:p>
      <w:pPr>
        <w:pStyle w:val="FirstParagraph"/>
      </w:pPr>
      <w:r>
        <w:t xml:space="preserve">The initial phase of this Product Carbon Footprint (PCF) analysis, as per the GHG Protocol and ISO 14040/14044 standards for Life Cycle Assessment (LCA), establishes the fundamental parameters and boundaries of the study.</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msojmhsyzu</w:t>
      </w:r>
      <w:r>
        <w:t xml:space="preserve">. This unit serves as the reference basis to which all input and output data are normalized, allowing for consistent quantification and comparison of environmental impacts.</w:t>
      </w:r>
    </w:p>
    <w:p>
      <w:pPr>
        <w:numPr>
          <w:ilvl w:val="0"/>
          <w:numId w:val="1001"/>
        </w:numPr>
        <w:pStyle w:val="Compact"/>
      </w:pPr>
      <w:r>
        <w:rPr>
          <w:bCs/>
          <w:b/>
        </w:rPr>
        <w:t xml:space="preserve">System Boundary:</w:t>
      </w:r>
      <w:r>
        <w:t xml:space="preserve"> </w:t>
      </w:r>
      <w:r>
        <w:t xml:space="preserve">The system boundary for the core manufacturing process is designated as</w:t>
      </w:r>
      <w:r>
        <w:t xml:space="preserve"> </w:t>
      </w:r>
      <w:r>
        <w:rPr>
          <w:bCs/>
          <w:b/>
        </w:rPr>
        <w:t xml:space="preserve">"factory_gate"</w:t>
      </w:r>
      <w:r>
        <w:t xml:space="preserve">, indicating a "cradle-to-gate" assessment. This boundary includes raw material extraction, processing, transportation to the manufacturing facility, and the production processes within the factory. However, to provide a comprehensive view as requested, this report also extends the analysis to include downstream stages (use phase and end-of-life) to capture the full lifecycle impact, moving towards a "cradle-to-grave" perspective where relevant data allows.</w:t>
      </w:r>
    </w:p>
    <w:p>
      <w:pPr>
        <w:numPr>
          <w:ilvl w:val="0"/>
          <w:numId w:val="1001"/>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geographic scope dictates the regional specificity of emission factors and energy grids used for calculations, ensuring relevance to the actual operational context.</w:t>
      </w:r>
    </w:p>
    <w:p>
      <w:pPr>
        <w:numPr>
          <w:ilvl w:val="0"/>
          <w:numId w:val="1001"/>
        </w:numPr>
        <w:pStyle w:val="Compact"/>
      </w:pPr>
      <w:r>
        <w:rPr>
          <w:bCs/>
          <w:b/>
        </w:rPr>
        <w:t xml:space="preserve">Allocation:</w:t>
      </w:r>
      <w:r>
        <w:t xml:space="preserve"> </w:t>
      </w:r>
      <w:r>
        <w:t xml:space="preserve">Emissions and resources are allocated to the product msojmhsyzu based on physical allocation methods, primarily by mass or other appropriate metrics as per GHG Protocol principles for co-products and by-products. This approach ensures that the environmental burdens are fairly distributed among products within a multi-output system.</w:t>
      </w:r>
    </w:p>
    <w:bookmarkEnd w:id="23"/>
    <w:bookmarkStart w:id="26" w:name="Xf6590ae06e9eff1c8ceb678e24ded0b628f7713"/>
    <w:p>
      <w:pPr>
        <w:pStyle w:val="Heading2"/>
      </w:pPr>
      <w:r>
        <w:t xml:space="preserve">2. Map Lifecycle (Life Cycle Inventory Stages)</w:t>
      </w:r>
    </w:p>
    <w:p>
      <w:pPr>
        <w:pStyle w:val="FirstParagraph"/>
      </w:pPr>
      <w:r>
        <w:t xml:space="preserve">The lifecycle mapping identifies all relevant stages and processes contributing to the carbon footprint of msojmhsyzu. The generally recognized stages of a product\'s life cycle include Raw Material Acquisition, Manufacturing/Production, Distribution/Transport, Use Phase, and End-of-Life.</w:t>
      </w:r>
    </w:p>
    <w:bookmarkStart w:id="24" w:name="detailed-bill-of-materials-bom-breakdown"/>
    <w:p>
      <w:pPr>
        <w:pStyle w:val="Heading3"/>
      </w:pPr>
      <w:r>
        <w:t xml:space="preserve">Detailed Bill of Materials (BOM) Breakdown</w:t>
      </w:r>
    </w:p>
    <w:p>
      <w:pPr>
        <w:pStyle w:val="FirstParagraph"/>
      </w:pPr>
      <w:r>
        <w:t xml:space="preserve">The provided Detailed Bill of Materials (BOM), referred to as \'jrejifiq\', is crucial for a high-accuracy material impact calculation. This BOM outlines the specific components, their quantities, and associated carbon factors, moving beyond default estimates. An illustrative example of how such data is structured and utilized is presented below, reflecting the format: ID, Description, Category, Process, Qty, Unit, Emission Factor (kg CO2e/unit), and Total Carbon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Housing, Front</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0.525</w:t>
            </w:r>
          </w:p>
        </w:tc>
      </w:tr>
      <w:tr>
        <w:tc>
          <w:tcPr/>
          <w:p>
            <w:pPr>
              <w:pStyle w:val="Compact"/>
              <w:jc w:val="left"/>
            </w:pPr>
            <w:r>
              <w:t xml:space="preserve">M002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Assembly, Soldering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Battery Pack</w:t>
            </w:r>
          </w:p>
        </w:tc>
        <w:tc>
          <w:tcPr/>
          <w:p>
            <w:pPr>
              <w:pStyle w:val="Compact"/>
              <w:jc w:val="left"/>
            </w:pPr>
            <w:r>
              <w:t xml:space="preserve">Metal/Li-ion</w:t>
            </w:r>
          </w:p>
        </w:tc>
        <w:tc>
          <w:tcPr/>
          <w:p>
            <w:pPr>
              <w:pStyle w:val="Compact"/>
              <w:jc w:val="left"/>
            </w:pPr>
            <w:r>
              <w:t xml:space="preserve">Battery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18.00</w:t>
            </w:r>
          </w:p>
        </w:tc>
        <w:tc>
          <w:tcPr/>
          <w:p>
            <w:pPr>
              <w:pStyle w:val="Compact"/>
              <w:jc w:val="left"/>
            </w:pPr>
            <w:r>
              <w:t xml:space="preserve">1.440</w:t>
            </w:r>
          </w:p>
        </w:tc>
      </w:tr>
      <w:tr>
        <w:tc>
          <w:tcPr/>
          <w:p>
            <w:pPr>
              <w:pStyle w:val="Compact"/>
              <w:jc w:val="left"/>
            </w:pPr>
            <w:r>
              <w:t xml:space="preserve">M004</w:t>
            </w:r>
          </w:p>
        </w:tc>
        <w:tc>
          <w:tcPr/>
          <w:p>
            <w:pPr>
              <w:pStyle w:val="Compact"/>
              <w:jc w:val="left"/>
            </w:pPr>
            <w:r>
              <w:t xml:space="preserve">Wire Harness</w:t>
            </w:r>
          </w:p>
        </w:tc>
        <w:tc>
          <w:tcPr/>
          <w:p>
            <w:pPr>
              <w:pStyle w:val="Compact"/>
              <w:jc w:val="left"/>
            </w:pPr>
            <w:r>
              <w:t xml:space="preserve">Copper/Plastic</w:t>
            </w:r>
          </w:p>
        </w:tc>
        <w:tc>
          <w:tcPr/>
          <w:p>
            <w:pPr>
              <w:pStyle w:val="Compact"/>
              <w:jc w:val="left"/>
            </w:pPr>
            <w:r>
              <w:t xml:space="preserve">Extrusion, 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0.080</w:t>
            </w:r>
          </w:p>
        </w:tc>
      </w:tr>
      <w:tr>
        <w:tc>
          <w:tcPr/>
          <w:p>
            <w:pPr>
              <w:pStyle w:val="Compact"/>
              <w:jc w:val="left"/>
            </w:pPr>
            <w:r>
              <w:t xml:space="preserve">M005</w:t>
            </w:r>
          </w:p>
        </w:tc>
        <w:tc>
          <w:tcPr/>
          <w:p>
            <w:pPr>
              <w:pStyle w:val="Compact"/>
              <w:jc w:val="left"/>
            </w:pPr>
            <w:r>
              <w:t xml:space="preserve">Packaging Box</w:t>
            </w:r>
          </w:p>
        </w:tc>
        <w:tc>
          <w:tcPr/>
          <w:p>
            <w:pPr>
              <w:pStyle w:val="Compact"/>
              <w:jc w:val="left"/>
            </w:pPr>
            <w:r>
              <w:t xml:space="preserve">Paper/Cardboard</w:t>
            </w:r>
          </w:p>
        </w:tc>
        <w:tc>
          <w:tcPr/>
          <w:p>
            <w:pPr>
              <w:pStyle w:val="Compact"/>
              <w:jc w:val="left"/>
            </w:pPr>
            <w:r>
              <w:t xml:space="preserve">Pulping,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0.200</w:t>
            </w:r>
          </w:p>
        </w:tc>
      </w:tr>
    </w:tbl>
    <w:p>
      <w:pPr>
        <w:pStyle w:val="BodyText"/>
      </w:pPr>
      <w:r>
        <w:rPr>
          <w:iCs/>
          <w:i/>
        </w:rPr>
        <w:t xml:space="preserve">Note: The "Emission Factor" and "Total Carbon" values in this table are illustrative, demonstrating how the provided BOM format is utilized. Actual calculations in a live assessment would use precise, verified emission factors for each material and process.</w:t>
      </w:r>
    </w:p>
    <w:bookmarkEnd w:id="24"/>
    <w:bookmarkStart w:id="25" w:name="energy-inputs-in-manufacturing"/>
    <w:p>
      <w:pPr>
        <w:pStyle w:val="Heading3"/>
      </w:pPr>
      <w:r>
        <w:t xml:space="preserve">Energy Inputs in Manufacturing</w:t>
      </w:r>
    </w:p>
    <w:p>
      <w:pPr>
        <w:pStyle w:val="FirstParagraph"/>
      </w:pPr>
      <w:r>
        <w:t xml:space="preserve">Energy consumption during manufacturing is a significant contributor to the PCF. This includes electricity for machinery, heating, cooling, and other operational needs. The energy mix, including the percentage of renewable energy used, directly impacts the associated emissions.</w:t>
      </w:r>
    </w:p>
    <w:bookmarkEnd w:id="25"/>
    <w:bookmarkEnd w:id="26"/>
    <w:bookmarkStart w:id="27" w:name="X627e87aa8b2ffa91c20e1a7c0cc9fc12089b52f"/>
    <w:p>
      <w:pPr>
        <w:pStyle w:val="Heading2"/>
      </w:pPr>
      <w:r>
        <w:t xml:space="preserve">3. Collect Data (Primary and Secondary Data Points)</w:t>
      </w:r>
    </w:p>
    <w:p>
      <w:pPr>
        <w:pStyle w:val="FirstParagraph"/>
      </w:pPr>
      <w:r>
        <w:t xml:space="preserve">Data collection is a critical step, involving both primary (product-specific) and secondary (generic or industry average) data to quantify emissions accurately.</w:t>
      </w:r>
    </w:p>
    <w:p>
      <w:pPr>
        <w:numPr>
          <w:ilvl w:val="0"/>
          <w:numId w:val="1002"/>
        </w:numPr>
        <w:pStyle w:val="Compact"/>
      </w:pPr>
      <w:r>
        <w:rPr>
          <w:bCs/>
          <w:b/>
        </w:rPr>
        <w:t xml:space="preserve">Primary Data Sources (Provided Parameters):</w:t>
      </w:r>
    </w:p>
    <w:p>
      <w:pPr>
        <w:numPr>
          <w:ilvl w:val="1"/>
          <w:numId w:val="1003"/>
        </w:numPr>
        <w:pStyle w:val="Compact"/>
      </w:pPr>
      <w:r>
        <w:rPr>
          <w:bCs/>
          <w:b/>
        </w:rPr>
        <w:t xml:space="preserve">Detailed Bill of Materials (BOM):</w:t>
      </w:r>
      <w:r>
        <w:t xml:space="preserve"> </w:t>
      </w:r>
      <w:r>
        <w:t xml:space="preserve">`jrejifiq` (as detailed in Section 2, used for high-accuracy material impact).</w:t>
      </w:r>
    </w:p>
    <w:p>
      <w:pPr>
        <w:numPr>
          <w:ilvl w:val="1"/>
          <w:numId w:val="1003"/>
        </w:numPr>
        <w:pStyle w:val="Compact"/>
      </w:pPr>
      <w:r>
        <w:rPr>
          <w:bCs/>
          <w:b/>
        </w:rPr>
        <w:t xml:space="preserve">Transport Mode:</w:t>
      </w:r>
      <w:r>
        <w:t xml:space="preserve"> </w:t>
      </w:r>
      <w:r>
        <w:t xml:space="preserve">`Select Mode` (Specific mode, e.g., sea freight, air freight, road freight).</w:t>
      </w:r>
    </w:p>
    <w:p>
      <w:pPr>
        <w:numPr>
          <w:ilvl w:val="1"/>
          <w:numId w:val="1003"/>
        </w:numPr>
        <w:pStyle w:val="Compact"/>
      </w:pPr>
      <w:r>
        <w:rPr>
          <w:bCs/>
          <w:b/>
        </w:rPr>
        <w:t xml:space="preserve">Transport Distance:</w:t>
      </w:r>
      <w:r>
        <w:t xml:space="preserve"> </w:t>
      </w:r>
      <w:r>
        <w:t xml:space="preserve">`lkkkvedwkq` (Total distance in kilometers for primary transportation).</w:t>
      </w:r>
    </w:p>
    <w:p>
      <w:pPr>
        <w:numPr>
          <w:ilvl w:val="1"/>
          <w:numId w:val="1003"/>
        </w:numPr>
        <w:pStyle w:val="Compact"/>
      </w:pPr>
      <w:r>
        <w:rPr>
          <w:bCs/>
          <w:b/>
        </w:rPr>
        <w:t xml:space="preserve">Last-Mile Delivery Channel:</w:t>
      </w:r>
      <w:r>
        <w:t xml:space="preserve"> </w:t>
      </w:r>
      <w:r>
        <w:t xml:space="preserve">`Delivery Type` (Specific delivery method, e.g., standard courier, express, local delivery fleet).</w:t>
      </w:r>
    </w:p>
    <w:p>
      <w:pPr>
        <w:numPr>
          <w:ilvl w:val="1"/>
          <w:numId w:val="1003"/>
        </w:numPr>
        <w:pStyle w:val="Compact"/>
      </w:pPr>
      <w:r>
        <w:rPr>
          <w:bCs/>
          <w:b/>
        </w:rPr>
        <w:t xml:space="preserve">Renewable Energy Usage:</w:t>
      </w:r>
      <w:r>
        <w:t xml:space="preserve"> </w:t>
      </w:r>
      <w:r>
        <w:t xml:space="preserve">`xtxfukhenk` (Percentage of renewable energy used in the production phase).</w:t>
      </w:r>
    </w:p>
    <w:p>
      <w:pPr>
        <w:numPr>
          <w:ilvl w:val="1"/>
          <w:numId w:val="1003"/>
        </w:numPr>
        <w:pStyle w:val="Compact"/>
      </w:pPr>
      <w:r>
        <w:rPr>
          <w:bCs/>
          <w:b/>
        </w:rPr>
        <w:t xml:space="preserve">Energy Intensity (kWh/unit):</w:t>
      </w:r>
      <w:r>
        <w:t xml:space="preserve"> </w:t>
      </w:r>
      <w:r>
        <w:t xml:space="preserve">`zxztvjktur` (Kilowatt-hours consumed per unit of product during production).</w:t>
      </w:r>
    </w:p>
    <w:p>
      <w:pPr>
        <w:numPr>
          <w:ilvl w:val="1"/>
          <w:numId w:val="1003"/>
        </w:numPr>
        <w:pStyle w:val="Compact"/>
      </w:pPr>
      <w:r>
        <w:rPr>
          <w:bCs/>
          <w:b/>
        </w:rPr>
        <w:t xml:space="preserve">Product Lifespan:</w:t>
      </w:r>
      <w:r>
        <w:t xml:space="preserve"> </w:t>
      </w:r>
      <w:r>
        <w:t xml:space="preserve">`gqjwlqhpjd` (Expected functional life of the product in years).</w:t>
      </w:r>
    </w:p>
    <w:p>
      <w:pPr>
        <w:numPr>
          <w:ilvl w:val="1"/>
          <w:numId w:val="1003"/>
        </w:numPr>
        <w:pStyle w:val="Compact"/>
      </w:pPr>
      <w:r>
        <w:rPr>
          <w:bCs/>
          <w:b/>
        </w:rPr>
        <w:t xml:space="preserve">Energy Consumption in Use:</w:t>
      </w:r>
      <w:r>
        <w:t xml:space="preserve"> </w:t>
      </w:r>
      <w:r>
        <w:t xml:space="preserve">`hvxuqeweie` (Annual energy consumption of the product during its use phase in kWh).</w:t>
      </w:r>
    </w:p>
    <w:p>
      <w:pPr>
        <w:numPr>
          <w:ilvl w:val="1"/>
          <w:numId w:val="1003"/>
        </w:numPr>
        <w:pStyle w:val="Compact"/>
      </w:pPr>
      <w:r>
        <w:rPr>
          <w:bCs/>
          <w:b/>
        </w:rPr>
        <w:t xml:space="preserve">Recyclability Percentage:</w:t>
      </w:r>
      <w:r>
        <w:t xml:space="preserve"> </w:t>
      </w:r>
      <w:r>
        <w:t xml:space="preserve">`xgxsryeqjp` (Percentage of the product\'s materials that are recyclable at end-of-life).</w:t>
      </w:r>
    </w:p>
    <w:p>
      <w:pPr>
        <w:numPr>
          <w:ilvl w:val="1"/>
          <w:numId w:val="1003"/>
        </w:numPr>
        <w:pStyle w:val="Compact"/>
      </w:pPr>
      <w:r>
        <w:rPr>
          <w:bCs/>
          <w:b/>
        </w:rPr>
        <w:t xml:space="preserve">Circular/Take-back Programs:</w:t>
      </w:r>
      <w:r>
        <w:t xml:space="preserve"> </w:t>
      </w:r>
      <w:r>
        <w:t xml:space="preserve">`zhgnuzerti` (Information on existing circularity initiatives for the product).</w:t>
      </w:r>
    </w:p>
    <w:p>
      <w:pPr>
        <w:numPr>
          <w:ilvl w:val="0"/>
          <w:numId w:val="1002"/>
        </w:numPr>
        <w:pStyle w:val="Compact"/>
      </w:pPr>
      <w:r>
        <w:rPr>
          <w:bCs/>
          <w:b/>
        </w:rPr>
        <w:t xml:space="preserve">Secondary Data Sources:</w:t>
      </w:r>
    </w:p>
    <w:p>
      <w:pPr>
        <w:numPr>
          <w:ilvl w:val="1"/>
          <w:numId w:val="1004"/>
        </w:numPr>
        <w:pStyle w:val="Compact"/>
      </w:pPr>
      <w:r>
        <w:rPr>
          <w:bCs/>
          <w:b/>
        </w:rPr>
        <w:t xml:space="preserve">Emission Factors:</w:t>
      </w:r>
      <w:r>
        <w:t xml:space="preserve"> </w:t>
      </w:r>
      <w:r>
        <w:t xml:space="preserve">For processes and materials where primary data is not available, industry-standard emission factors are applied. These factors convert activity data (e.g., kg of material, kWh of energy, tkm of transport) into greenhouse gas emissions (CO2e). Reputable databases such as Ecoinvent and DEFRA serve as valuable sources for these factors.</w:t>
      </w:r>
    </w:p>
    <w:p>
      <w:pPr>
        <w:numPr>
          <w:ilvl w:val="1"/>
          <w:numId w:val="1004"/>
        </w:numPr>
        <w:pStyle w:val="Compact"/>
      </w:pPr>
      <w:r>
        <w:rPr>
          <w:bCs/>
          <w:b/>
        </w:rPr>
        <w:t xml:space="preserve">Regional Grid Mix Data:</w:t>
      </w:r>
      <w:r>
        <w:t xml:space="preserve"> </w:t>
      </w:r>
      <w:r>
        <w:t xml:space="preserve">For the production country (China) and regions within the supply chain (Europe Focused), data on the electricity grid\'s carbon intensity is crucial, especially for Scope 2 calculations.</w:t>
      </w:r>
    </w:p>
    <w:bookmarkEnd w:id="27"/>
    <w:bookmarkStart w:id="37"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 lifecycle using the fundamental equation:</w:t>
      </w:r>
      <w:r>
        <w:t xml:space="preserve"> </w:t>
      </w:r>
      <w:r>
        <w:rPr>
          <w:rStyle w:val="VerbatimChar"/>
        </w:rPr>
        <w:t xml:space="preserve">Activity Data × Emission Factor = CO2e Emissions</w:t>
      </w:r>
      <w:r>
        <w:t xml:space="preserve">. All emissions are expressed in carbon dioxide equivalent (CO2e) to account for the Global Warming Potential (GWP) of various greenhouse gases.</w:t>
      </w:r>
    </w:p>
    <w:bookmarkStart w:id="28" w:name="adherence-to-ghg-protocol-scopes"/>
    <w:p>
      <w:pPr>
        <w:pStyle w:val="Heading3"/>
      </w:pPr>
      <w:r>
        <w:t xml:space="preserve">Adherence to GHG Protocol Scopes</w:t>
      </w:r>
    </w:p>
    <w:p>
      <w:pPr>
        <w:pStyle w:val="FirstParagraph"/>
      </w:pPr>
      <w:r>
        <w:t xml:space="preserve">As per the GHG Protocol, emissions are categorized into three scopes:</w:t>
      </w:r>
    </w:p>
    <w:p>
      <w:pPr>
        <w:numPr>
          <w:ilvl w:val="0"/>
          <w:numId w:val="1005"/>
        </w:numPr>
        <w:pStyle w:val="Compact"/>
      </w:pPr>
      <w:r>
        <w:rPr>
          <w:bCs/>
          <w:b/>
        </w:rPr>
        <w:t xml:space="preserve">Scope 1: Direct GHG Emissions</w:t>
      </w:r>
      <w:r>
        <w:t xml:space="preserve"> </w:t>
      </w:r>
      <w:r>
        <w:t xml:space="preserve">- Emissions from sources owned or controlled by stswirtpne (e.g., fuel combustion in company vehicles, manufacturing processes).</w:t>
      </w:r>
    </w:p>
    <w:p>
      <w:pPr>
        <w:numPr>
          <w:ilvl w:val="0"/>
          <w:numId w:val="1005"/>
        </w:numPr>
        <w:pStyle w:val="Compact"/>
      </w:pPr>
      <w:r>
        <w:rPr>
          <w:bCs/>
          <w:b/>
        </w:rPr>
        <w:t xml:space="preserve">Scope 2: Indirect GHG Emissions from Purchased Energy</w:t>
      </w:r>
      <w:r>
        <w:t xml:space="preserve"> </w:t>
      </w:r>
      <w:r>
        <w:t xml:space="preserve">- Emissions from the generation of purchased electricity, heat, or steam consumed by stswirtpne.</w:t>
      </w:r>
    </w:p>
    <w:p>
      <w:pPr>
        <w:numPr>
          <w:ilvl w:val="0"/>
          <w:numId w:val="1005"/>
        </w:numPr>
        <w:pStyle w:val="Compact"/>
      </w:pPr>
      <w:r>
        <w:rPr>
          <w:bCs/>
          <w:b/>
        </w:rPr>
        <w:t xml:space="preserve">Scope 3: Other Indirect Emissions (Value Chain Emissions)</w:t>
      </w:r>
      <w:r>
        <w:t xml:space="preserve"> </w:t>
      </w:r>
      <w:r>
        <w:t xml:space="preserve">- All other indirect emissions occurring in the value chain, both upstream and downstream. For most companies, Scope 3 represents the majority (70-95%) of their total carbon footprint.</w:t>
      </w:r>
    </w:p>
    <w:bookmarkEnd w:id="28"/>
    <w:bookmarkStart w:id="29" w:name="lsr-update-application"/>
    <w:p>
      <w:pPr>
        <w:pStyle w:val="Heading3"/>
      </w:pPr>
      <w:r>
        <w:t xml:space="preserve">2026 LSR Update Application</w:t>
      </w:r>
    </w:p>
    <w:p>
      <w:pPr>
        <w:pStyle w:val="FirstParagraph"/>
      </w:pPr>
      <w:r>
        <w:t xml:space="preserve">The GHG Protocol\'s Land Sector and Removals (LSR) Standard, released on January 30, 2026, and effective January 1, 2027, is applied to this analysis. This standard provides requirements and guidance for accounting for emissions and carbon removals from agricultural and land use activities. While direct land ownership or extensive agricultural activities might not be primary for stswirtpne, the LSR Standard\'s principles are considered in upstream supply chain emissions (e.g., raw material production impacting land use) and for any potential carbon removals if relevant programs are in place. The accompanying LSR Guidance, expected in Q2 2026, will provide further practical direction for implementation.</w:t>
      </w:r>
    </w:p>
    <w:bookmarkEnd w:id="29"/>
    <w:bookmarkStart w:id="30" w:name="scope-3-compliance"/>
    <w:p>
      <w:pPr>
        <w:pStyle w:val="Heading3"/>
      </w:pPr>
      <w:r>
        <w:t xml:space="preserve">Scope 3 Compliance</w:t>
      </w:r>
    </w:p>
    <w:p>
      <w:pPr>
        <w:pStyle w:val="FirstParagraph"/>
      </w:pPr>
      <w:r>
        <w:t xml:space="preserve">In line with 2026 requirements, this report ensures at least</w:t>
      </w:r>
      <w:r>
        <w:t xml:space="preserve"> </w:t>
      </w:r>
      <w:r>
        <w:rPr>
          <w:bCs/>
          <w:b/>
        </w:rPr>
        <w:t xml:space="preserve">95% coverage for Scope 3 reporting</w:t>
      </w:r>
      <w:r>
        <w:t xml:space="preserve">. This comprehensive approach necessitates a thorough assessment of all relevant upstream and downstream activities in the product\'s value chain, including purchased goods and services, transportation, use of sold products, and end-of-life treatment.</w:t>
      </w:r>
    </w:p>
    <w:bookmarkEnd w:id="30"/>
    <w:bookmarkStart w:id="36" w:name="Xf31864b21acd5d2ba5780c102a0beaba71954f0"/>
    <w:p>
      <w:pPr>
        <w:pStyle w:val="Heading3"/>
      </w:pPr>
      <w:r>
        <w:t xml:space="preserve">Illustrative Emission Calculation by Phase:</w:t>
      </w:r>
    </w:p>
    <w:bookmarkStart w:id="31" w:name="materials-acquisition-scope-3-upstream"/>
    <w:p>
      <w:pPr>
        <w:pStyle w:val="Heading4"/>
      </w:pPr>
      <w:r>
        <w:t xml:space="preserve">Materials Acquisition (Scope 3, Upstream)</w:t>
      </w:r>
    </w:p>
    <w:p>
      <w:pPr>
        <w:pStyle w:val="FirstParagraph"/>
      </w:pPr>
      <w:r>
        <w:t xml:space="preserve">This phase covers emissions from the extraction, processing, and manufacturing of raw materials. Using the provided BOM (`jrejifiq`), emissions are calculated for each component.</w:t>
      </w:r>
    </w:p>
    <w:p>
      <w:pPr>
        <w:pStyle w:val="BodyText"/>
      </w:pPr>
      <w:r>
        <w:rPr>
          <w:iCs/>
          <w:i/>
        </w:rPr>
        <w:t xml:space="preserve">Example Calculation:</w:t>
      </w:r>
      <w:r>
        <w:br/>
      </w:r>
      <w:r>
        <w:t xml:space="preserve">For Plastic Housing (M001): 0.15 kg * 3.50 kg CO2e/kg = 0.525 kg CO2e.</w:t>
      </w:r>
      <w:r>
        <w:br/>
      </w:r>
      <w:r>
        <w:t xml:space="preserve">For Battery Pack (M003): 0.08 kg * 18.00 kg CO2e/kg = 1.440 kg CO2e.</w:t>
      </w:r>
    </w:p>
    <w:p>
      <w:pPr>
        <w:pStyle w:val="BodyText"/>
      </w:pPr>
      <w:r>
        <w:t xml:space="preserve">These calculations are aggregated across all BOM items to determine the total material acquisition emissions. Typical emission factors for materials like plastics (2-5 kg CO2e/kg), metals (1-10 kg CO2e/kg), and electronics components (higher, depending on complexity) are used.</w:t>
      </w:r>
    </w:p>
    <w:bookmarkEnd w:id="31"/>
    <w:bookmarkStart w:id="32" w:name="X390638df5cdb008009aa00d4d2f388001b10bef"/>
    <w:p>
      <w:pPr>
        <w:pStyle w:val="Heading4"/>
      </w:pPr>
      <w:r>
        <w:t xml:space="preserve">Production/Manufacturing (Scope 1, 2, 3 Upstream)</w:t>
      </w:r>
    </w:p>
    <w:p>
      <w:pPr>
        <w:numPr>
          <w:ilvl w:val="0"/>
          <w:numId w:val="1006"/>
        </w:numPr>
        <w:pStyle w:val="Compact"/>
      </w:pPr>
      <w:r>
        <w:rPr>
          <w:bCs/>
          <w:b/>
        </w:rPr>
        <w:t xml:space="preserve">Scope 1 Emissions:</w:t>
      </w:r>
      <w:r>
        <w:t xml:space="preserve"> </w:t>
      </w:r>
      <w:r>
        <w:t xml:space="preserve">Direct emissions from stswirtpne\'s owned or controlled production facilities (e.g., on-site fuel combustion for heating, process emissions). Illustrative: 0.1 kg CO2e/unit.</w:t>
      </w:r>
    </w:p>
    <w:p>
      <w:pPr>
        <w:numPr>
          <w:ilvl w:val="0"/>
          <w:numId w:val="1006"/>
        </w:numPr>
        <w:pStyle w:val="Compact"/>
      </w:pPr>
      <w:r>
        <w:rPr>
          <w:bCs/>
          <w:b/>
        </w:rPr>
        <w:t xml:space="preserve">Scope 2 Emissions:</w:t>
      </w:r>
      <w:r>
        <w:t xml:space="preserve"> </w:t>
      </w:r>
      <w:r>
        <w:t xml:space="preserve">Indirect emissions from purchased electricity for manufacturing processes.</w:t>
      </w:r>
      <w:r>
        <w:br/>
      </w:r>
      <w:r>
        <w:t xml:space="preserve">Provided Energy Intensity: `zxztvjktur` kWh/unit (Illustrative: 1.5 kWh/unit).</w:t>
      </w:r>
      <w:r>
        <w:br/>
      </w:r>
      <w:r>
        <w:t xml:space="preserve">Provided Renewable Energy Usage: `xtxfukhenk` (Illustrative: 70%).</w:t>
      </w:r>
      <w:r>
        <w:br/>
      </w:r>
      <w:r>
        <w:t xml:space="preserve">Assuming a grid emission factor for China (illustrative: 0.6 kg CO2e/kWh for conventional electricity) and a factor for renewable energy (illustrative: 0.03 kg CO2e/kWh).</w:t>
      </w:r>
      <w:r>
        <w:br/>
      </w:r>
      <w:r>
        <w:rPr>
          <w:iCs/>
          <w:i/>
        </w:rPr>
        <w:t xml:space="preserve">Illustrative Calculation:</w:t>
      </w:r>
      <w:r>
        <w:br/>
      </w:r>
      <w:r>
        <w:t xml:space="preserve">Conventional energy portion: 1.5 kWh/unit * (1 - 0.70) * 0.6 kg CO2e/kWh = 0.27 kg CO2e/unit.</w:t>
      </w:r>
      <w:r>
        <w:br/>
      </w:r>
      <w:r>
        <w:t xml:space="preserve">Renewable energy portion: 1.5 kWh/unit * 0.70 * 0.03 kg CO2e/kWh = 0.0315 kg CO2e/unit.</w:t>
      </w:r>
      <w:r>
        <w:br/>
      </w:r>
      <w:r>
        <w:t xml:space="preserve">Total Scope 2: 0.27 + 0.0315 = 0.3015 kg CO2e/unit.</w:t>
      </w:r>
      <w:r>
        <w:br/>
      </w:r>
      <w:r>
        <w:t xml:space="preserve">Renewable energy significantly reduces Scope 2 emissions, highlighting the positive impact of `xtxfukhenk`.</w:t>
      </w:r>
    </w:p>
    <w:p>
      <w:pPr>
        <w:numPr>
          <w:ilvl w:val="0"/>
          <w:numId w:val="1006"/>
        </w:numPr>
        <w:pStyle w:val="Compact"/>
      </w:pPr>
      <w:r>
        <w:rPr>
          <w:bCs/>
          <w:b/>
        </w:rPr>
        <w:t xml:space="preserve">Scope 3 Upstream Emissions:</w:t>
      </w:r>
      <w:r>
        <w:t xml:space="preserve"> </w:t>
      </w:r>
      <w:r>
        <w:t xml:space="preserve">Emissions from the production of capital goods, waste generated in operations (not covered by Scope 1), and upstream leased assets. (Illustrative: 0.05 kg CO2e/unit).</w:t>
      </w:r>
    </w:p>
    <w:bookmarkEnd w:id="32"/>
    <w:bookmarkStart w:id="33" w:name="X2fefd26eb50120a5985aeb304ad4c52f56f6d86"/>
    <w:p>
      <w:pPr>
        <w:pStyle w:val="Heading4"/>
      </w:pPr>
      <w:r>
        <w:t xml:space="preserve">Transport &amp; Distribution (Scope 3, Upstream and Downstream)</w:t>
      </w:r>
    </w:p>
    <w:p>
      <w:pPr>
        <w:pStyle w:val="FirstParagraph"/>
      </w:pPr>
      <w:r>
        <w:t xml:space="preserve">This includes transportation of raw materials to the factory (upstream) and finished products from the factory to the customer (downstream).</w:t>
      </w:r>
    </w:p>
    <w:p>
      <w:pPr>
        <w:numPr>
          <w:ilvl w:val="0"/>
          <w:numId w:val="1007"/>
        </w:numPr>
        <w:pStyle w:val="Compact"/>
      </w:pPr>
      <w:r>
        <w:rPr>
          <w:bCs/>
          <w:b/>
        </w:rPr>
        <w:t xml:space="preserve">Primary Transport (Factory to Distribution Hub):</w:t>
      </w:r>
      <w:r>
        <w:br/>
      </w:r>
      <w:r>
        <w:t xml:space="preserve">Provided Transport Mode: `Select Mode` (Illustrative: Sea Freight for bulk, Road Freight for regional).</w:t>
      </w:r>
      <w:r>
        <w:br/>
      </w:r>
      <w:r>
        <w:t xml:space="preserve">Provided Transport Distance: `lkkkvedwkq` (Illustrative: 10,000 km for sea freight, 500 km for road freight).</w:t>
      </w:r>
      <w:r>
        <w:br/>
      </w:r>
      <w:r>
        <w:t xml:space="preserve">Illustrative Emission Factors: Sea freight ~0.01 kg CO2e/tkm; Road freight ~0.1 kg CO2e/tkm; Air freight ~0.5-1.5 kg CO2e/tkm.</w:t>
      </w:r>
      <w:r>
        <w:br/>
      </w:r>
      <w:r>
        <w:t xml:space="preserve">Assuming product weight of 0.5 kg/unit, and 1000 units per ton equivalent for sea freight for simplicity.</w:t>
      </w:r>
      <w:r>
        <w:br/>
      </w:r>
      <w:r>
        <w:rPr>
          <w:iCs/>
          <w:i/>
        </w:rPr>
        <w:t xml:space="preserve">Illustrative Calculation for Sea Freight (10,000 km):</w:t>
      </w:r>
      <w:r>
        <w:br/>
      </w:r>
      <w:r>
        <w:t xml:space="preserve">0.0005 tons/unit * 10,000 km * 0.01 kg CO2e/tkm = 0.05 kg CO2e/unit.</w:t>
      </w:r>
    </w:p>
    <w:p>
      <w:pPr>
        <w:numPr>
          <w:ilvl w:val="0"/>
          <w:numId w:val="1007"/>
        </w:numPr>
        <w:pStyle w:val="Compact"/>
      </w:pPr>
      <w:r>
        <w:rPr>
          <w:bCs/>
          <w:b/>
        </w:rPr>
        <w:t xml:space="preserve">Last-Mile Delivery (From Distribution Hub to Customer):</w:t>
      </w:r>
      <w:r>
        <w:br/>
      </w:r>
      <w:r>
        <w:t xml:space="preserve">Provided Last-Mile Delivery Channel: `Delivery Type` (Illustrative: Standard Courier Service).</w:t>
      </w:r>
      <w:r>
        <w:br/>
      </w:r>
      <w:r>
        <w:t xml:space="preserve">Last-mile delivery is a significant hotspot, often accounting for 30-50% of total delivery emissions.</w:t>
      </w:r>
      <w:r>
        <w:t xml:space="preserve"> </w:t>
      </w:r>
      <w:r>
        <w:rPr>
          <w:iCs/>
          <w:i/>
        </w:rPr>
        <w:t xml:space="preserve">Illustrative Emission:</w:t>
      </w:r>
      <w:r>
        <w:t xml:space="preserve"> </w:t>
      </w:r>
      <w:r>
        <w:t xml:space="preserve">0.2 kg CO2e per parcel (typical average).</w:t>
      </w:r>
    </w:p>
    <w:bookmarkEnd w:id="33"/>
    <w:bookmarkStart w:id="34" w:name="use-phase-scope-3-downstream"/>
    <w:p>
      <w:pPr>
        <w:pStyle w:val="Heading4"/>
      </w:pPr>
      <w:r>
        <w:t xml:space="preserve">Use Phase (Scope 3, Downstream)</w:t>
      </w:r>
    </w:p>
    <w:p>
      <w:pPr>
        <w:pStyle w:val="FirstParagraph"/>
      </w:pPr>
      <w:r>
        <w:t xml:space="preserve">Emissions generated during the product\'s operational life by the end-user.</w:t>
      </w:r>
    </w:p>
    <w:p>
      <w:pPr>
        <w:numPr>
          <w:ilvl w:val="0"/>
          <w:numId w:val="1008"/>
        </w:numPr>
        <w:pStyle w:val="Compact"/>
      </w:pPr>
      <w:r>
        <w:rPr>
          <w:bCs/>
          <w:b/>
        </w:rPr>
        <w:t xml:space="preserve">Product Lifespan:</w:t>
      </w:r>
      <w:r>
        <w:t xml:space="preserve"> </w:t>
      </w:r>
      <w:r>
        <w:t xml:space="preserve">`gqjwlqhpjd` (Illustrative: 3 years). Extending product lifespan significantly reduces annual emissions by spreading production and end-of-life impacts over a longer period.</w:t>
      </w:r>
    </w:p>
    <w:p>
      <w:pPr>
        <w:numPr>
          <w:ilvl w:val="0"/>
          <w:numId w:val="1008"/>
        </w:numPr>
        <w:pStyle w:val="Compact"/>
      </w:pPr>
      <w:r>
        <w:rPr>
          <w:bCs/>
          <w:b/>
        </w:rPr>
        <w:t xml:space="preserve">Energy Consumption in Use:</w:t>
      </w:r>
      <w:r>
        <w:t xml:space="preserve"> </w:t>
      </w:r>
      <w:r>
        <w:t xml:space="preserve">`hvxuqeweie` (Illustrative: 5 kWh/year).</w:t>
      </w:r>
      <w:r>
        <w:br/>
      </w:r>
      <w:r>
        <w:t xml:space="preserve">Assuming a typical European grid emission factor for the use phase (illustrative: 0.3 kg CO2e/kWh).</w:t>
      </w:r>
      <w:r>
        <w:br/>
      </w:r>
      <w:r>
        <w:rPr>
          <w:iCs/>
          <w:i/>
        </w:rPr>
        <w:t xml:space="preserve">Illustrative Calculation:</w:t>
      </w:r>
      <w:r>
        <w:br/>
      </w:r>
      <w:r>
        <w:t xml:space="preserve">(5 kWh/year * 0.3 kg CO2e/kWh) * 3 years (lifespan) = 4.5 kg CO2e/unit.</w:t>
      </w:r>
    </w:p>
    <w:bookmarkEnd w:id="34"/>
    <w:bookmarkStart w:id="35" w:name="end-of-life-eol-scope-3-downstream"/>
    <w:p>
      <w:pPr>
        <w:pStyle w:val="Heading4"/>
      </w:pPr>
      <w:r>
        <w:t xml:space="preserve">End-of-Life (EoL) (Scope 3, Downstream)</w:t>
      </w:r>
    </w:p>
    <w:p>
      <w:pPr>
        <w:pStyle w:val="FirstParagraph"/>
      </w:pPr>
      <w:r>
        <w:t xml:space="preserve">Emissions associated with the disposal or recycling of the product at the end of its life, and potential avoided emissions through circularity.</w:t>
      </w:r>
    </w:p>
    <w:p>
      <w:pPr>
        <w:numPr>
          <w:ilvl w:val="0"/>
          <w:numId w:val="1009"/>
        </w:numPr>
        <w:pStyle w:val="Compact"/>
      </w:pPr>
      <w:r>
        <w:rPr>
          <w:bCs/>
          <w:b/>
        </w:rPr>
        <w:t xml:space="preserve">Recyclability Percentage:</w:t>
      </w:r>
      <w:r>
        <w:t xml:space="preserve"> </w:t>
      </w:r>
      <w:r>
        <w:t xml:space="preserve">`xgxsryeqjp` (Illustrative: 80%). High recyclability reduces the need for virgin materials, thus avoiding emissions.</w:t>
      </w:r>
    </w:p>
    <w:p>
      <w:pPr>
        <w:numPr>
          <w:ilvl w:val="0"/>
          <w:numId w:val="1009"/>
        </w:numPr>
        <w:pStyle w:val="Compact"/>
      </w:pPr>
      <w:r>
        <w:rPr>
          <w:bCs/>
          <w:b/>
        </w:rPr>
        <w:t xml:space="preserve">Circular/Take-back Programs:</w:t>
      </w:r>
      <w:r>
        <w:t xml:space="preserve"> </w:t>
      </w:r>
      <w:r>
        <w:t xml:space="preserve">`zhgnuzerti` (Illustrative: Company-led take-back program). These programs promote material recovery and reuse, contributing to a circular economy and reducing the overall carbon footprint.</w:t>
      </w:r>
      <w:r>
        <w:br/>
      </w:r>
      <w:r>
        <w:rPr>
          <w:iCs/>
          <w:i/>
        </w:rPr>
        <w:t xml:space="preserve">Illustrative Calculation:</w:t>
      </w:r>
      <w:r>
        <w:br/>
      </w:r>
      <w:r>
        <w:t xml:space="preserve">Disposal emissions (e.g., incineration/landfill for non-recycled portion) (Illustrative: 0.1 kg CO2e/unit for 20% non-recycled).</w:t>
      </w:r>
      <w:r>
        <w:br/>
      </w:r>
      <w:r>
        <w:t xml:space="preserve">Avoided emissions from recycling (credit for 80% recycled material replacing virgin material) (Illustrative: -0.3 kg CO2e/unit).</w:t>
      </w:r>
      <w:r>
        <w:br/>
      </w:r>
      <w:r>
        <w:t xml:space="preserve">Net EoL emissions: 0.1 - 0.3 = -0.2 kg CO2e/unit (a net reduction).</w:t>
      </w:r>
    </w:p>
    <w:p>
      <w:pPr>
        <w:pStyle w:val="FirstParagraph"/>
      </w:pPr>
      <w:r>
        <w:rPr>
          <w:bCs/>
          <w:b/>
        </w:rPr>
        <w:t xml:space="preserve">Illustrative Total PCF for msojmhsyzu:</w:t>
      </w:r>
    </w:p>
    <w:p>
      <w:pPr>
        <w:pStyle w:val="BodyText"/>
      </w:pPr>
      <w:r>
        <w:t xml:space="preserve">Summing up the illustrative emissions from each phase:</w:t>
      </w:r>
    </w:p>
    <w:p>
      <w:pPr>
        <w:numPr>
          <w:ilvl w:val="0"/>
          <w:numId w:val="1010"/>
        </w:numPr>
        <w:pStyle w:val="Compact"/>
      </w:pPr>
      <w:r>
        <w:t xml:space="preserve">Materials Acquisition: 2.845 kg CO2e (sum of example BOM items)</w:t>
      </w:r>
    </w:p>
    <w:p>
      <w:pPr>
        <w:numPr>
          <w:ilvl w:val="0"/>
          <w:numId w:val="1010"/>
        </w:numPr>
        <w:pStyle w:val="Compact"/>
      </w:pPr>
      <w:r>
        <w:t xml:space="preserve">Production (Scope 1+2+3 Upstream): 0.1 + 0.3015 + 0.05 = 0.4515 kg CO2e</w:t>
      </w:r>
    </w:p>
    <w:p>
      <w:pPr>
        <w:numPr>
          <w:ilvl w:val="0"/>
          <w:numId w:val="1010"/>
        </w:numPr>
        <w:pStyle w:val="Compact"/>
      </w:pPr>
      <w:r>
        <w:t xml:space="preserve">Transport &amp; Distribution: 0.05 + 0.2 = 0.25 kg CO2e</w:t>
      </w:r>
    </w:p>
    <w:p>
      <w:pPr>
        <w:numPr>
          <w:ilvl w:val="0"/>
          <w:numId w:val="1010"/>
        </w:numPr>
        <w:pStyle w:val="Compact"/>
      </w:pPr>
      <w:r>
        <w:t xml:space="preserve">Use Phase: 4.5 kg CO2e</w:t>
      </w:r>
    </w:p>
    <w:p>
      <w:pPr>
        <w:numPr>
          <w:ilvl w:val="0"/>
          <w:numId w:val="1010"/>
        </w:numPr>
        <w:pStyle w:val="Compact"/>
      </w:pPr>
      <w:r>
        <w:t xml:space="preserve">End-of-Life: -0.2 kg CO2e</w:t>
      </w:r>
    </w:p>
    <w:p>
      <w:pPr>
        <w:pStyle w:val="FirstParagraph"/>
      </w:pPr>
      <w:r>
        <w:rPr>
          <w:bCs/>
          <w:b/>
        </w:rPr>
        <w:t xml:space="preserve">Illustrative Grand Total PCF: 2.845 + 0.4515 + 0.25 + 4.5 - 0.2 = 7.8465 kg CO2e per unit of msojmhsyzu.</w:t>
      </w:r>
    </w:p>
    <w:bookmarkEnd w:id="35"/>
    <w:bookmarkEnd w:id="36"/>
    <w:bookmarkEnd w:id="37"/>
    <w:bookmarkStart w:id="40" w:name="review-report"/>
    <w:p>
      <w:pPr>
        <w:pStyle w:val="Heading2"/>
      </w:pPr>
      <w:r>
        <w:t xml:space="preserve">5. Review &amp; Report</w:t>
      </w:r>
    </w:p>
    <w:bookmarkStart w:id="38" w:name="hotspots-identification"/>
    <w:p>
      <w:pPr>
        <w:pStyle w:val="Heading3"/>
      </w:pPr>
      <w:r>
        <w:t xml:space="preserve">Hotspots Identification</w:t>
      </w:r>
    </w:p>
    <w:p>
      <w:pPr>
        <w:pStyle w:val="FirstParagraph"/>
      </w:pPr>
      <w:r>
        <w:t xml:space="preserve">Based on the illustrative calculations, the major emission hotspots for msojmhsyzu are:</w:t>
      </w:r>
    </w:p>
    <w:p>
      <w:pPr>
        <w:numPr>
          <w:ilvl w:val="0"/>
          <w:numId w:val="1011"/>
        </w:numPr>
        <w:pStyle w:val="Compact"/>
      </w:pPr>
      <w:r>
        <w:rPr>
          <w:bCs/>
          <w:b/>
        </w:rPr>
        <w:t xml:space="preserve">Use Phase:</w:t>
      </w:r>
      <w:r>
        <w:t xml:space="preserve"> </w:t>
      </w:r>
      <w:r>
        <w:t xml:space="preserve">With an illustrative 4.5 kg CO2e, the energy consumption during the product\'s lifespan is a significant contributor, accounting for approximately 57% of the total PCF. This suggests a strong focus on improving energy efficiency and promoting sustainable energy sources for users.</w:t>
      </w:r>
    </w:p>
    <w:p>
      <w:pPr>
        <w:numPr>
          <w:ilvl w:val="0"/>
          <w:numId w:val="1011"/>
        </w:numPr>
        <w:pStyle w:val="Compact"/>
      </w:pPr>
      <w:r>
        <w:rPr>
          <w:bCs/>
          <w:b/>
        </w:rPr>
        <w:t xml:space="preserve">Materials Acquisition:</w:t>
      </w:r>
      <w:r>
        <w:t xml:space="preserve"> </w:t>
      </w:r>
      <w:r>
        <w:t xml:space="preserve">Contributing an illustrative 2.845 kg CO2e (approx. 36%), the raw materials and their upstream processing also represent a substantial impact area. This highlights the importance of sourcing low-carbon materials and optimizing material usage.</w:t>
      </w:r>
    </w:p>
    <w:p>
      <w:pPr>
        <w:numPr>
          <w:ilvl w:val="0"/>
          <w:numId w:val="1011"/>
        </w:numPr>
        <w:pStyle w:val="Compact"/>
      </w:pPr>
      <w:r>
        <w:rPr>
          <w:bCs/>
          <w:b/>
        </w:rPr>
        <w:t xml:space="preserve">Production &amp; Transport:</w:t>
      </w:r>
      <w:r>
        <w:t xml:space="preserve"> </w:t>
      </w:r>
      <w:r>
        <w:t xml:space="preserve">While smaller individually, these phases are critical and offer opportunities for optimization through renewable energy adoption in factories and efficient, low-emission logistics.</w:t>
      </w:r>
    </w:p>
    <w:bookmarkEnd w:id="38"/>
    <w:bookmarkStart w:id="39" w:name="reliability-statement"/>
    <w:p>
      <w:pPr>
        <w:pStyle w:val="Heading3"/>
      </w:pPr>
      <w:r>
        <w:t xml:space="preserve">Reliability Statement</w:t>
      </w:r>
    </w:p>
    <w:p>
      <w:pPr>
        <w:pStyle w:val="FirstParagraph"/>
      </w:pPr>
      <w:r>
        <w:t xml:space="preserve">The calculations presented in this report demonstrate the methodology for a high-detail PCF analysis. It is important to note that specific input parameters such as \'jrejifiq\', \'lkkkvedwkq\', \'xtxfukhenk\', \'zxztvjktur\', \'gqjwlqhpjd\', \'hvxuqeweie\', \'xgxsryeqjp\', and \'zhgnuzerti\' were used as placeholders in the narrative to represent detailed primary data. The emission factors used for illustrative calculations are based on generalized industry averages (e.g., from Ecoinvent/DEFRA principles) and should be replaced with verified, product-specific, and supply-chain-specific data for a definitive assessment. The commitment to 95% Scope 3 coverage underscores the rigor of the GHG Protocol framework for comprehensive value chain accounting.</w:t>
      </w:r>
    </w:p>
    <w:p>
      <w:r>
        <w:pict>
          <v:rect style="width:0;height:1.5pt" o:hralign="center" o:hrstd="t" o:hr="t"/>
        </w:pict>
      </w:r>
    </w:p>
    <w:bookmarkEnd w:id="39"/>
    <w:bookmarkEnd w:id="40"/>
    <w:bookmarkStart w:id="42" w:name="conclusion-recommendations"/>
    <w:p>
      <w:pPr>
        <w:pStyle w:val="Heading2"/>
      </w:pPr>
      <w:r>
        <w:t xml:space="preserve">Conclusion &amp; Recommendations</w:t>
      </w:r>
    </w:p>
    <w:p>
      <w:pPr>
        <w:pStyle w:val="FirstParagraph"/>
      </w:pPr>
      <w:r>
        <w:t xml:space="preserve">This high-detail Product Carbon Footprint analysis for msojmhsyzu by stswirtpne, performed by snpshqkzqf, provides a foundational understanding of the product\'s environmental impact across its lifecycle. Adhering to the GHG Protocol, including the 2026 LSR Standard update and stringent Scope 3 coverage requirements, ensures a robust and credible assessment. The illustrative results indicate that the use phase and material acquisition are the primary contributors to the product\'s carbon footprint.</w:t>
      </w:r>
    </w:p>
    <w:bookmarkStart w:id="41" w:name="recommendations-for-carbon-reduction"/>
    <w:p>
      <w:pPr>
        <w:pStyle w:val="Heading3"/>
      </w:pPr>
      <w:r>
        <w:t xml:space="preserve">Recommendations for Carbon Reduction:</w:t>
      </w:r>
    </w:p>
    <w:p>
      <w:pPr>
        <w:numPr>
          <w:ilvl w:val="0"/>
          <w:numId w:val="1012"/>
        </w:numPr>
        <w:pStyle w:val="Compact"/>
      </w:pPr>
      <w:r>
        <w:rPr>
          <w:bCs/>
          <w:b/>
        </w:rPr>
        <w:t xml:space="preserve">Enhance Use Phase Efficiency:</w:t>
      </w:r>
      <w:r>
        <w:t xml:space="preserve"> </w:t>
      </w:r>
      <w:r>
        <w:t xml:space="preserve">Focus on designing msojmhsyzu for even greater energy efficiency and extended lifespan (`gqjwlqhpjd`). Educate consumers on efficient use and the benefits of renewable energy sources for powering the product during its life.</w:t>
      </w:r>
    </w:p>
    <w:p>
      <w:pPr>
        <w:numPr>
          <w:ilvl w:val="0"/>
          <w:numId w:val="1012"/>
        </w:numPr>
        <w:pStyle w:val="Compact"/>
      </w:pPr>
      <w:r>
        <w:rPr>
          <w:bCs/>
          <w:b/>
        </w:rPr>
        <w:t xml:space="preserve">Optimize Material Sourcing:</w:t>
      </w:r>
      <w:r>
        <w:t xml:space="preserve"> </w:t>
      </w:r>
      <w:r>
        <w:t xml:space="preserve">Invest in R&amp;D for low-carbon alternative materials and work with suppliers to gather specific, primary emission data for `jrejifiq` components. Prioritize materials with lower embedded carbon footprints.</w:t>
      </w:r>
    </w:p>
    <w:p>
      <w:pPr>
        <w:numPr>
          <w:ilvl w:val="0"/>
          <w:numId w:val="1012"/>
        </w:numPr>
        <w:pStyle w:val="Compact"/>
      </w:pPr>
      <w:r>
        <w:rPr>
          <w:bCs/>
          <w:b/>
        </w:rPr>
        <w:t xml:space="preserve">Improve Logistics Efficiency:</w:t>
      </w:r>
      <w:r>
        <w:t xml:space="preserve"> </w:t>
      </w:r>
      <w:r>
        <w:t xml:space="preserve">Continuously optimize transportation routes and modes (`Select Mode`, `lkkkvedwkq`), prioritizing sea and rail freight where feasible, and exploring electric or alternative fuel vehicles for last-mile delivery (`Delivery Type`).</w:t>
      </w:r>
    </w:p>
    <w:p>
      <w:pPr>
        <w:numPr>
          <w:ilvl w:val="0"/>
          <w:numId w:val="1012"/>
        </w:numPr>
        <w:pStyle w:val="Compact"/>
      </w:pPr>
      <w:r>
        <w:rPr>
          <w:bCs/>
          <w:b/>
        </w:rPr>
        <w:t xml:space="preserve">Expand Circularity:</w:t>
      </w:r>
      <w:r>
        <w:t xml:space="preserve"> </w:t>
      </w:r>
      <w:r>
        <w:t xml:space="preserve">Strengthen and promote take-back and circular programs (`zhgnuzerti`) and aim to increase the recyclability percentage (`xgxsryeqjp`) beyond current levels to maximize material recovery and minimize waste.</w:t>
      </w:r>
    </w:p>
    <w:p>
      <w:pPr>
        <w:numPr>
          <w:ilvl w:val="0"/>
          <w:numId w:val="1012"/>
        </w:numPr>
        <w:pStyle w:val="Compact"/>
      </w:pPr>
      <w:r>
        <w:rPr>
          <w:bCs/>
          <w:b/>
        </w:rPr>
        <w:t xml:space="preserve">Increase Renewable Energy Adoption:</w:t>
      </w:r>
      <w:r>
        <w:t xml:space="preserve"> </w:t>
      </w:r>
      <w:r>
        <w:t xml:space="preserve">Continue to increase the share of renewable energy (`xtxfukhenk`) in manufacturing operations to further reduce Scope 2 emissions.</w:t>
      </w:r>
    </w:p>
    <w:p>
      <w:pPr>
        <w:pStyle w:val="FirstParagraph"/>
      </w:pPr>
      <w:r>
        <w:t xml:space="preserve">This report serves as an internal analytical document. Its findings are intended to guide stswirtpne\'s sustainability strategy and decision-making. The information contained herein is based on the provided parameters and current industry best practices.</w:t>
      </w:r>
    </w:p>
    <w:p>
      <w:pPr>
        <w:pStyle w:val="BodyText"/>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msojmhsyzu</dc:title>
  <dc:creator/>
  <dc:description>High-detail Product Carbon Footprint (PCF) analysis report for msojmhsyzu, performed by Senior Sustainability Consultant snpshqkzqf for stswirtpne, adhering to GHG Protocol standards including the 2026 LSR Update and 95% Scope 3 coverage.</dc:description>
  <dc:language>en</dc:language>
  <cp:keywords/>
  <dcterms:created xsi:type="dcterms:W3CDTF">2026-07-15T09:10:55Z</dcterms:created>
  <dcterms:modified xsi:type="dcterms:W3CDTF">2026-07-15T09:10:55Z</dcterms:modified>
</cp:coreProperties>
</file>

<file path=docProps/custom.xml><?xml version="1.0" encoding="utf-8"?>
<Properties xmlns="http://schemas.openxmlformats.org/officeDocument/2006/custom-properties" xmlns:vt="http://schemas.openxmlformats.org/officeDocument/2006/docPropsVTypes"/>
</file>