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msehsjpfqz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msehsjpfqz</w:t>
      </w:r>
    </w:p>
    <w:p>
      <w:pPr>
        <w:pStyle w:val="BodyText"/>
      </w:pPr>
      <w:r>
        <w:rPr>
          <w:bCs/>
          <w:b/>
        </w:rPr>
        <w:t xml:space="preserve">Company Name:</w:t>
      </w:r>
      <w:r>
        <w:t xml:space="preserve"> </w:t>
      </w:r>
      <w:r>
        <w:t xml:space="preserve">zzqnhzxiwf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ngoriihnvl</w:t>
      </w:r>
    </w:p>
    <w:p>
      <w:pPr>
        <w:pStyle w:val="BodyText"/>
      </w:pPr>
      <w:r>
        <w:t xml:space="preserve">This report is generated based on available data and industry standards. While efforts have been made to ensure accuracy, the actual environmental impact may vary based on real-time operational conditions and data precision.</w:t>
      </w:r>
    </w:p>
    <w:bookmarkEnd w:id="20"/>
    <w:bookmarkStart w:id="21" w:name="Xa87d010c1fd868336511b306fbd202996615f12"/>
    <w:p>
      <w:pPr>
        <w:pStyle w:val="Heading1"/>
      </w:pPr>
      <w:r>
        <w:t xml:space="preserve">Product Carbon Footprint Analysis Report</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msehsjpfqz</w:t>
      </w:r>
      <w:r>
        <w:t xml:space="preserve">, manufactured by</w:t>
      </w:r>
      <w:r>
        <w:t xml:space="preserve"> </w:t>
      </w:r>
      <w:r>
        <w:rPr>
          <w:bCs/>
          <w:b/>
        </w:rPr>
        <w:t xml:space="preserve">zzqnhzxiwf</w:t>
      </w:r>
      <w:r>
        <w:t xml:space="preserve">. Conducted by Senior Sustainability Consultant</w:t>
      </w:r>
      <w:r>
        <w:t xml:space="preserve"> </w:t>
      </w:r>
      <w:r>
        <w:rPr>
          <w:bCs/>
          <w:b/>
        </w:rPr>
        <w:t xml:space="preserve">ngoriihnvl</w:t>
      </w:r>
      <w:r>
        <w:t xml:space="preserve">, this analysis adheres strictly to the GHG Protocol accounting standard, incorporating the 2026 Land Sector and Removals (LSR) Standard update and ensuring over 95% Scope 3 coverage. The primary goal is to quantify the greenhouse gas (GHG) emissions across the product\'s lifecycle, identify key emission hotspots, and provide actionable insights for sustainability improvements. The analysis covers raw material extraction, manufacturing, transport, use phase, and end-of-life scenarios, providing a comprehensive "cradle-to-grave" perspective.</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This Product Carbon Footprint (PCF) analysis quantifies the greenhouse gas emissions associated with the product</w:t>
      </w:r>
      <w:r>
        <w:t xml:space="preserve"> </w:t>
      </w:r>
      <w:r>
        <w:rPr>
          <w:bCs/>
          <w:b/>
        </w:rPr>
        <w:t xml:space="preserve">msehsjpfqz</w:t>
      </w:r>
      <w:r>
        <w:t xml:space="preserve"> </w:t>
      </w:r>
      <w:r>
        <w:t xml:space="preserve">from raw material acquisition through to its end-of-life. The study follows the principles of the GHG Protocol Product Standard.</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msehsjpfqz.</w:t>
      </w:r>
    </w:p>
    <w:p>
      <w:pPr>
        <w:numPr>
          <w:ilvl w:val="0"/>
          <w:numId w:val="1001"/>
        </w:numPr>
        <w:pStyle w:val="Compact"/>
      </w:pPr>
      <w:r>
        <w:t xml:space="preserve">This unit serves as the reference flow for all environmental impact calculations, ensuring comparability and consistency throughout the assessment.</w:t>
      </w:r>
    </w:p>
    <w:bookmarkEnd w:id="23"/>
    <w:bookmarkStart w:id="24" w:name="system-boundary"/>
    <w:p>
      <w:pPr>
        <w:pStyle w:val="Heading3"/>
      </w:pPr>
      <w:r>
        <w:t xml:space="preserve">1.2 System Boundary</w:t>
      </w:r>
    </w:p>
    <w:p>
      <w:pPr>
        <w:numPr>
          <w:ilvl w:val="0"/>
          <w:numId w:val="1002"/>
        </w:numPr>
        <w:pStyle w:val="Compact"/>
      </w:pPr>
      <w:r>
        <w:rPr>
          <w:bCs/>
          <w:b/>
        </w:rPr>
        <w:t xml:space="preserve">Declared System Boundary:</w:t>
      </w:r>
      <w:r>
        <w:t xml:space="preserve"> </w:t>
      </w:r>
      <w:r>
        <w:t xml:space="preserve">factory_gate. This typically encompasses raw material extraction (cradle) to the point where the finished product leaves the manufacturing facility (gate).</w:t>
      </w:r>
    </w:p>
    <w:p>
      <w:pPr>
        <w:numPr>
          <w:ilvl w:val="0"/>
          <w:numId w:val="1002"/>
        </w:numPr>
        <w:pStyle w:val="Compact"/>
      </w:pPr>
      <w:r>
        <w:rPr>
          <w:bCs/>
          <w:b/>
        </w:rPr>
        <w:t xml:space="preserve">Extended Scope for Analysis:</w:t>
      </w:r>
      <w:r>
        <w:t xml:space="preserve"> </w:t>
      </w:r>
      <w:r>
        <w:t xml:space="preserve">Although the declared boundary is \'factory_gate\', per the comprehensive request, this analysis extends to a "cradle-to-grave" perspective. This includes raw material acquisition, manufacturing, transport to customer, the product\'s use phase, and its end-of-life management. This allows for a holistic understanding of impacts across the entire value chain.</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influences the energy mix and local emission factors for manufacturing.</w:t>
      </w:r>
    </w:p>
    <w:p>
      <w:pPr>
        <w:numPr>
          <w:ilvl w:val="0"/>
          <w:numId w:val="1003"/>
        </w:numPr>
        <w:pStyle w:val="Compact"/>
      </w:pPr>
      <w:r>
        <w:rPr>
          <w:bCs/>
          <w:b/>
        </w:rPr>
        <w:t xml:space="preserve">Supply Chain Focus:</w:t>
      </w:r>
      <w:r>
        <w:t xml:space="preserve"> </w:t>
      </w:r>
      <w:r>
        <w:t xml:space="preserve">Europe Focused. Raw material sourcing and distribution channels are primarily considered within and to/from Europe.</w:t>
      </w:r>
    </w:p>
    <w:bookmarkEnd w:id="25"/>
    <w:bookmarkStart w:id="26" w:name="accounting-standard-and-allocation"/>
    <w:p>
      <w:pPr>
        <w:pStyle w:val="Heading3"/>
      </w:pPr>
      <w:r>
        <w:t xml:space="preserve">1.4 Accounting Standard and Allocation</w:t>
      </w:r>
    </w:p>
    <w:p>
      <w:pPr>
        <w:numPr>
          <w:ilvl w:val="0"/>
          <w:numId w:val="1004"/>
        </w:numPr>
        <w:pStyle w:val="Compact"/>
      </w:pPr>
      <w:r>
        <w:rPr>
          <w:bCs/>
          <w:b/>
        </w:rPr>
        <w:t xml:space="preserve">Accounting Standard:</w:t>
      </w:r>
      <w:r>
        <w:t xml:space="preserve"> </w:t>
      </w:r>
      <w:r>
        <w:t xml:space="preserve">GHG Protocol Product Standard. This ensures a robust and internationally recognized methodology for quantifying GHG emissions.</w:t>
      </w:r>
    </w:p>
    <w:p>
      <w:pPr>
        <w:numPr>
          <w:ilvl w:val="0"/>
          <w:numId w:val="1004"/>
        </w:numPr>
        <w:pStyle w:val="Compact"/>
      </w:pPr>
      <w:r>
        <w:rPr>
          <w:bCs/>
          <w:b/>
        </w:rPr>
        <w:t xml:space="preserve">Allocation:</w:t>
      </w:r>
      <w:r>
        <w:t xml:space="preserve"> </w:t>
      </w:r>
      <w:r>
        <w:t xml:space="preserve">Emissions are allocated based on physical causality where possible (e.g., material weight, energy consumption per unit). For co-products or multi-output processes, economic allocation or system expansion (where applicable, especially for circular economy aspects) is considered to avoid double-counting.</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 msehsjpfqz is mapped into distinct stages, enabling a systematic collection of data and calculation of emissions. The following sections detail the inputs for each stage.</w:t>
      </w:r>
    </w:p>
    <w:bookmarkStart w:id="28" w:name="Xebaad30a44f3be504d55bbf85b869a1cc34bcfa"/>
    <w:p>
      <w:pPr>
        <w:pStyle w:val="Heading3"/>
      </w:pPr>
      <w:r>
        <w:t xml:space="preserve">2.1 Detailed Bill of Materials (BOM) for msehsjpfqz</w:t>
      </w:r>
    </w:p>
    <w:p>
      <w:pPr>
        <w:pStyle w:val="FirstParagraph"/>
      </w:pPr>
      <w:r>
        <w:t xml:space="preserve">The following Bill of Materials (BOM) provides a granular breakdown of components and materials, along with their respective quantities and pre-calculated carbon emissions. These values are crucial for accurate upstream emissions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Microcontroller Unit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 Mill</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0.040</w:t>
            </w:r>
          </w:p>
        </w:tc>
      </w:tr>
      <w:tr>
        <w:tc>
          <w:tcPr/>
          <w:p>
            <w:pPr>
              <w:pStyle w:val="Compact"/>
              <w:jc w:val="left"/>
            </w:pPr>
            <w:r>
              <w:t xml:space="preserve">A001</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p>
            <w:pPr>
              <w:pStyle w:val="Compact"/>
              <w:jc w:val="left"/>
            </w:pPr>
            <w:r>
              <w:t xml:space="preserve">S001</w:t>
            </w:r>
          </w:p>
        </w:tc>
        <w:tc>
          <w:tcPr/>
          <w:p>
            <w:pPr>
              <w:pStyle w:val="Compact"/>
              <w:jc w:val="left"/>
            </w:pPr>
            <w:r>
              <w:t xml:space="preserve">Solder</w:t>
            </w:r>
          </w:p>
        </w:tc>
        <w:tc>
          <w:tcPr/>
          <w:p>
            <w:pPr>
              <w:pStyle w:val="Compact"/>
              <w:jc w:val="left"/>
            </w:pPr>
            <w:r>
              <w:t xml:space="preserve">Metals</w:t>
            </w:r>
          </w:p>
        </w:tc>
        <w:tc>
          <w:tcPr/>
          <w:p>
            <w:pPr>
              <w:pStyle w:val="Compact"/>
              <w:jc w:val="left"/>
            </w:pPr>
            <w:r>
              <w:t xml:space="preserve">Metal Processing</w:t>
            </w:r>
          </w:p>
        </w:tc>
        <w:tc>
          <w:tcPr/>
          <w:p>
            <w:pPr>
              <w:pStyle w:val="Compact"/>
              <w:jc w:val="left"/>
            </w:pPr>
            <w:r>
              <w:t xml:space="preserve">0.001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0.010</w:t>
            </w:r>
          </w:p>
        </w:tc>
      </w:tr>
    </w:tbl>
    <w:bookmarkEnd w:id="28"/>
    <w:bookmarkStart w:id="29" w:name="manufacturing-energy-inputs"/>
    <w:p>
      <w:pPr>
        <w:pStyle w:val="Heading3"/>
      </w:pPr>
      <w:r>
        <w:t xml:space="preserve">2.2 Manufacturing Energy Inputs</w:t>
      </w:r>
    </w:p>
    <w:p>
      <w:pPr>
        <w:numPr>
          <w:ilvl w:val="0"/>
          <w:numId w:val="1005"/>
        </w:numPr>
        <w:pStyle w:val="Compact"/>
      </w:pPr>
      <w:r>
        <w:rPr>
          <w:bCs/>
          <w:b/>
        </w:rPr>
        <w:t xml:space="preserve">Energy Intensity (kWh/unit):</w:t>
      </w:r>
      <w:r>
        <w:t xml:space="preserve"> </w:t>
      </w:r>
      <w:r>
        <w:t xml:space="preserve">ngljjghfvo (e.g., 0.5 kWh/unit)</w:t>
      </w:r>
    </w:p>
    <w:p>
      <w:pPr>
        <w:numPr>
          <w:ilvl w:val="0"/>
          <w:numId w:val="1005"/>
        </w:numPr>
        <w:pStyle w:val="Compact"/>
      </w:pPr>
      <w:r>
        <w:rPr>
          <w:bCs/>
          <w:b/>
        </w:rPr>
        <w:t xml:space="preserve">Renewable Energy Usage:</w:t>
      </w:r>
      <w:r>
        <w:t xml:space="preserve"> </w:t>
      </w:r>
      <w:r>
        <w:t xml:space="preserve">lhklzwkspk (e.g., 70% of energy consumed at the manufacturing facility is from renewable sources). This significantly reduces Scope 2 emissions.</w:t>
      </w:r>
    </w:p>
    <w:p>
      <w:pPr>
        <w:numPr>
          <w:ilvl w:val="0"/>
          <w:numId w:val="1005"/>
        </w:numPr>
        <w:pStyle w:val="Compact"/>
      </w:pPr>
      <w:r>
        <w:rPr>
          <w:bCs/>
          <w:b/>
        </w:rPr>
        <w:t xml:space="preserve">Grid Emission Factor (China):</w:t>
      </w:r>
      <w:r>
        <w:t xml:space="preserve"> </w:t>
      </w:r>
      <w:r>
        <w:t xml:space="preserve">Approximately 0.6 kg CO2e/kWh (for non-renewable electricity).</w:t>
      </w:r>
    </w:p>
    <w:p>
      <w:pPr>
        <w:numPr>
          <w:ilvl w:val="0"/>
          <w:numId w:val="1005"/>
        </w:numPr>
        <w:pStyle w:val="Compact"/>
      </w:pPr>
      <w:r>
        <w:rPr>
          <w:bCs/>
          <w:b/>
        </w:rPr>
        <w:t xml:space="preserve">Renewable Energy Emission Factor:</w:t>
      </w:r>
      <w:r>
        <w:t xml:space="preserve"> </w:t>
      </w:r>
      <w:r>
        <w:t xml:space="preserve">0.0 kg CO2e/kWh (assuming certified renewable energy with zero upstream emissions allocated to its usage).</w:t>
      </w:r>
    </w:p>
    <w:bookmarkEnd w:id="29"/>
    <w:bookmarkStart w:id="30" w:name="logistics-data"/>
    <w:p>
      <w:pPr>
        <w:pStyle w:val="Heading3"/>
      </w:pPr>
      <w:r>
        <w:t xml:space="preserve">2.3 Logistics Data</w:t>
      </w:r>
    </w:p>
    <w:p>
      <w:pPr>
        <w:pStyle w:val="FirstParagraph"/>
      </w:pPr>
      <w:r>
        <w:t xml:space="preserve">Transport of raw materials to the factory and finished goods to the market are significant contributors to Scope 3 emissions.</w:t>
      </w:r>
    </w:p>
    <w:p>
      <w:pPr>
        <w:numPr>
          <w:ilvl w:val="0"/>
          <w:numId w:val="1006"/>
        </w:numPr>
        <w:pStyle w:val="Compact"/>
      </w:pPr>
      <w:r>
        <w:rPr>
          <w:bCs/>
          <w:b/>
        </w:rPr>
        <w:t xml:space="preserve">Upstream Transport (Components from Europe to China):</w:t>
      </w:r>
    </w:p>
    <w:p>
      <w:pPr>
        <w:numPr>
          <w:ilvl w:val="1"/>
          <w:numId w:val="1007"/>
        </w:numPr>
        <w:pStyle w:val="Compact"/>
      </w:pPr>
      <w:r>
        <w:rPr>
          <w:bCs/>
          <w:b/>
        </w:rPr>
        <w:t xml:space="preserve">Transport Mode:</w:t>
      </w:r>
      <w:r>
        <w:t xml:space="preserve"> </w:t>
      </w:r>
      <w:r>
        <w:t xml:space="preserve">Sea Freight</w:t>
      </w:r>
    </w:p>
    <w:p>
      <w:pPr>
        <w:numPr>
          <w:ilvl w:val="1"/>
          <w:numId w:val="1007"/>
        </w:numPr>
        <w:pStyle w:val="Compact"/>
      </w:pPr>
      <w:r>
        <w:rPr>
          <w:bCs/>
          <w:b/>
        </w:rPr>
        <w:t xml:space="preserve">Transport Distance:</w:t>
      </w:r>
      <w:r>
        <w:t xml:space="preserve"> </w:t>
      </w:r>
      <w:r>
        <w:t xml:space="preserve">hxxutojpwz (e.g., 15,000 km)</w:t>
      </w:r>
    </w:p>
    <w:p>
      <w:pPr>
        <w:numPr>
          <w:ilvl w:val="1"/>
          <w:numId w:val="1007"/>
        </w:numPr>
        <w:pStyle w:val="Compact"/>
      </w:pPr>
      <w:r>
        <w:rPr>
          <w:bCs/>
          <w:b/>
        </w:rPr>
        <w:t xml:space="preserve">Estimated Component Weight (per unit):</w:t>
      </w:r>
      <w:r>
        <w:t xml:space="preserve"> </w:t>
      </w:r>
      <w:r>
        <w:t xml:space="preserve">~0.3 kg (excluding packaging)</w:t>
      </w:r>
    </w:p>
    <w:p>
      <w:pPr>
        <w:numPr>
          <w:ilvl w:val="1"/>
          <w:numId w:val="1007"/>
        </w:numPr>
        <w:pStyle w:val="Compact"/>
      </w:pPr>
      <w:r>
        <w:rPr>
          <w:bCs/>
          <w:b/>
        </w:rPr>
        <w:t xml:space="preserve">Emission Factor (Sea Freight):</w:t>
      </w:r>
      <w:r>
        <w:t xml:space="preserve"> </w:t>
      </w:r>
      <w:r>
        <w:t xml:space="preserve">0.01 kg CO2e/tonne-km</w:t>
      </w:r>
    </w:p>
    <w:p>
      <w:pPr>
        <w:numPr>
          <w:ilvl w:val="0"/>
          <w:numId w:val="1006"/>
        </w:numPr>
        <w:pStyle w:val="Compact"/>
      </w:pPr>
      <w:r>
        <w:rPr>
          <w:bCs/>
          <w:b/>
        </w:rPr>
        <w:t xml:space="preserve">Downstream Transport (Finished Product from China to Europe):</w:t>
      </w:r>
    </w:p>
    <w:p>
      <w:pPr>
        <w:numPr>
          <w:ilvl w:val="1"/>
          <w:numId w:val="1008"/>
        </w:numPr>
        <w:pStyle w:val="Compact"/>
      </w:pPr>
      <w:r>
        <w:rPr>
          <w:bCs/>
          <w:b/>
        </w:rPr>
        <w:t xml:space="preserve">Transport Mode:</w:t>
      </w:r>
      <w:r>
        <w:t xml:space="preserve"> </w:t>
      </w:r>
      <w:r>
        <w:t xml:space="preserve">Sea Freight</w:t>
      </w:r>
    </w:p>
    <w:p>
      <w:pPr>
        <w:numPr>
          <w:ilvl w:val="1"/>
          <w:numId w:val="1008"/>
        </w:numPr>
        <w:pStyle w:val="Compact"/>
      </w:pPr>
      <w:r>
        <w:rPr>
          <w:bCs/>
          <w:b/>
        </w:rPr>
        <w:t xml:space="preserve">Transport Distance:</w:t>
      </w:r>
      <w:r>
        <w:t xml:space="preserve"> </w:t>
      </w:r>
      <w:r>
        <w:t xml:space="preserve">hxxutojpwz (e.g., 18,000 km)</w:t>
      </w:r>
    </w:p>
    <w:p>
      <w:pPr>
        <w:numPr>
          <w:ilvl w:val="1"/>
          <w:numId w:val="1008"/>
        </w:numPr>
        <w:pStyle w:val="Compact"/>
      </w:pPr>
      <w:r>
        <w:rPr>
          <w:bCs/>
          <w:b/>
        </w:rPr>
        <w:t xml:space="preserve">Estimated Product Weight with Packaging (per unit):</w:t>
      </w:r>
      <w:r>
        <w:t xml:space="preserve"> </w:t>
      </w:r>
      <w:r>
        <w:t xml:space="preserve">~0.4 kg</w:t>
      </w:r>
    </w:p>
    <w:p>
      <w:pPr>
        <w:numPr>
          <w:ilvl w:val="1"/>
          <w:numId w:val="1008"/>
        </w:numPr>
        <w:pStyle w:val="Compact"/>
      </w:pPr>
      <w:r>
        <w:rPr>
          <w:bCs/>
          <w:b/>
        </w:rPr>
        <w:t xml:space="preserve">Emission Factor (Sea Freight):</w:t>
      </w:r>
      <w:r>
        <w:t xml:space="preserve"> </w:t>
      </w:r>
      <w:r>
        <w:t xml:space="preserve">0.01 kg CO2e/tonne-km</w:t>
      </w:r>
    </w:p>
    <w:p>
      <w:pPr>
        <w:numPr>
          <w:ilvl w:val="0"/>
          <w:numId w:val="1006"/>
        </w:numPr>
        <w:pStyle w:val="Compact"/>
      </w:pPr>
      <w:r>
        <w:rPr>
          <w:bCs/>
          <w:b/>
        </w:rPr>
        <w:t xml:space="preserve">Last-Mile Delivery Channel (Europe):</w:t>
      </w:r>
    </w:p>
    <w:p>
      <w:pPr>
        <w:numPr>
          <w:ilvl w:val="1"/>
          <w:numId w:val="1009"/>
        </w:numPr>
        <w:pStyle w:val="Compact"/>
      </w:pPr>
      <w:r>
        <w:rPr>
          <w:bCs/>
          <w:b/>
        </w:rPr>
        <w:t xml:space="preserve">Delivery Type:</w:t>
      </w:r>
      <w:r>
        <w:t xml:space="preserve"> </w:t>
      </w:r>
      <w:r>
        <w:t xml:space="preserve">Road Freight (Truck)</w:t>
      </w:r>
    </w:p>
    <w:p>
      <w:pPr>
        <w:numPr>
          <w:ilvl w:val="1"/>
          <w:numId w:val="1009"/>
        </w:numPr>
        <w:pStyle w:val="Compact"/>
      </w:pPr>
      <w:r>
        <w:rPr>
          <w:bCs/>
          <w:b/>
        </w:rPr>
        <w:t xml:space="preserve">Transport Distance:</w:t>
      </w:r>
      <w:r>
        <w:t xml:space="preserve"> </w:t>
      </w:r>
      <w:r>
        <w:t xml:space="preserve">hxxutojpwz (e.g., 500 km)</w:t>
      </w:r>
    </w:p>
    <w:p>
      <w:pPr>
        <w:numPr>
          <w:ilvl w:val="1"/>
          <w:numId w:val="1009"/>
        </w:numPr>
        <w:pStyle w:val="Compact"/>
      </w:pPr>
      <w:r>
        <w:rPr>
          <w:bCs/>
          <w:b/>
        </w:rPr>
        <w:t xml:space="preserve">Estimated Product Weight with Packaging (per unit):</w:t>
      </w:r>
      <w:r>
        <w:t xml:space="preserve"> </w:t>
      </w:r>
      <w:r>
        <w:t xml:space="preserve">~0.4 kg</w:t>
      </w:r>
    </w:p>
    <w:p>
      <w:pPr>
        <w:numPr>
          <w:ilvl w:val="1"/>
          <w:numId w:val="1009"/>
        </w:numPr>
        <w:pStyle w:val="Compact"/>
      </w:pPr>
      <w:r>
        <w:rPr>
          <w:bCs/>
          <w:b/>
        </w:rPr>
        <w:t xml:space="preserve">Emission Factor (Road Freight):</w:t>
      </w:r>
      <w:r>
        <w:t xml:space="preserve"> </w:t>
      </w:r>
      <w:r>
        <w:t xml:space="preserve">0.09 kg CO2e/tonne-km</w:t>
      </w:r>
    </w:p>
    <w:bookmarkEnd w:id="30"/>
    <w:bookmarkStart w:id="31" w:name="use-phase-data"/>
    <w:p>
      <w:pPr>
        <w:pStyle w:val="Heading3"/>
      </w:pPr>
      <w:r>
        <w:t xml:space="preserve">2.4 Use Phase Data</w:t>
      </w:r>
    </w:p>
    <w:p>
      <w:pPr>
        <w:numPr>
          <w:ilvl w:val="0"/>
          <w:numId w:val="1010"/>
        </w:numPr>
        <w:pStyle w:val="Compact"/>
      </w:pPr>
      <w:r>
        <w:rPr>
          <w:bCs/>
          <w:b/>
        </w:rPr>
        <w:t xml:space="preserve">Product Lifespan:</w:t>
      </w:r>
      <w:r>
        <w:t xml:space="preserve"> </w:t>
      </w:r>
      <w:r>
        <w:t xml:space="preserve">xknndhlxvh (e.g., 5 years)</w:t>
      </w:r>
    </w:p>
    <w:p>
      <w:pPr>
        <w:numPr>
          <w:ilvl w:val="0"/>
          <w:numId w:val="1010"/>
        </w:numPr>
        <w:pStyle w:val="Compact"/>
      </w:pPr>
      <w:r>
        <w:rPr>
          <w:bCs/>
          <w:b/>
        </w:rPr>
        <w:t xml:space="preserve">Energy Consumption in Use:</w:t>
      </w:r>
      <w:r>
        <w:t xml:space="preserve"> </w:t>
      </w:r>
      <w:r>
        <w:t xml:space="preserve">eqwhzeixjk (e.g., 0.01 kWh/day)</w:t>
      </w:r>
    </w:p>
    <w:p>
      <w:pPr>
        <w:numPr>
          <w:ilvl w:val="0"/>
          <w:numId w:val="1010"/>
        </w:numPr>
        <w:pStyle w:val="Compact"/>
      </w:pPr>
      <w:r>
        <w:rPr>
          <w:bCs/>
          <w:b/>
        </w:rPr>
        <w:t xml:space="preserve">Assumed User Electricity Mix:</w:t>
      </w:r>
      <w:r>
        <w:t xml:space="preserve"> </w:t>
      </w:r>
      <w:r>
        <w:t xml:space="preserve">European average grid mix (approx. 0.25 kg CO2e/kWh).</w:t>
      </w:r>
    </w:p>
    <w:bookmarkEnd w:id="31"/>
    <w:bookmarkStart w:id="32" w:name="end-of-life-eol-data"/>
    <w:p>
      <w:pPr>
        <w:pStyle w:val="Heading3"/>
      </w:pPr>
      <w:r>
        <w:t xml:space="preserve">2.5 End-of-Life (EoL) Data</w:t>
      </w:r>
    </w:p>
    <w:p>
      <w:pPr>
        <w:numPr>
          <w:ilvl w:val="0"/>
          <w:numId w:val="1011"/>
        </w:numPr>
        <w:pStyle w:val="Compact"/>
      </w:pPr>
      <w:r>
        <w:rPr>
          <w:bCs/>
          <w:b/>
        </w:rPr>
        <w:t xml:space="preserve">Recyclability Percentage:</w:t>
      </w:r>
      <w:r>
        <w:t xml:space="preserve"> </w:t>
      </w:r>
      <w:r>
        <w:t xml:space="preserve">rrpmesgkjj (e.g., 60%)</w:t>
      </w:r>
    </w:p>
    <w:p>
      <w:pPr>
        <w:numPr>
          <w:ilvl w:val="0"/>
          <w:numId w:val="1011"/>
        </w:numPr>
        <w:pStyle w:val="Compact"/>
      </w:pPr>
      <w:r>
        <w:rPr>
          <w:bCs/>
          <w:b/>
        </w:rPr>
        <w:t xml:space="preserve">Circular/Take-back Programs:</w:t>
      </w:r>
      <w:r>
        <w:t xml:space="preserve"> </w:t>
      </w:r>
      <w:r>
        <w:t xml:space="preserve">kvprlsfzsr (e.g., "Yes, company-run take-back and recycling initiatives in key markets."). This indicates efforts to recover materials and potentially reduce virgin material demand.</w:t>
      </w:r>
    </w:p>
    <w:p>
      <w:pPr>
        <w:numPr>
          <w:ilvl w:val="0"/>
          <w:numId w:val="1011"/>
        </w:numPr>
        <w:pStyle w:val="Compact"/>
      </w:pPr>
      <w:r>
        <w:rPr>
          <w:bCs/>
          <w:b/>
        </w:rPr>
        <w:t xml:space="preserve">Waste Treatment Emission Factor (Landfill/Incineration for non-recycled part):</w:t>
      </w:r>
      <w:r>
        <w:t xml:space="preserve"> </w:t>
      </w:r>
      <w:r>
        <w:t xml:space="preserve">0.5 kg CO2e/kg (simplified average for mixed waste).</w:t>
      </w:r>
    </w:p>
    <w:p>
      <w:r>
        <w:pict>
          <v:rect style="width:0;height:1.5pt" o:hralign="center" o:hrstd="t" o:hr="t"/>
        </w:pict>
      </w:r>
    </w:p>
    <w:bookmarkEnd w:id="32"/>
    <w:bookmarkEnd w:id="33"/>
    <w:bookmarkStart w:id="44"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Protocol\'s Scope 1, 2, and 3 classifications.</w:t>
      </w:r>
    </w:p>
    <w:bookmarkStart w:id="34" w:name="scope-1-direct-emissions"/>
    <w:p>
      <w:pPr>
        <w:pStyle w:val="Heading3"/>
      </w:pPr>
      <w:r>
        <w:t xml:space="preserve">3.1 Scope 1: Direct Emissions</w:t>
      </w:r>
    </w:p>
    <w:p>
      <w:pPr>
        <w:pStyle w:val="FirstParagraph"/>
      </w:pPr>
      <w:r>
        <w:t xml:space="preserve">For this PCF analysis with a \'factory_gate\' boundary and subsequent cradle-to-grave extension, direct emissions from sources owned or controlled by zzqnhzxiwf (e.g., on-site fuel combustion) are assumed to be negligible at the product level, focusing primarily on manufacturing energy as Scope 2 and value chain activities as Scope 3. If direct combustion for product manufacturing were present, it would be included here.</w:t>
      </w:r>
    </w:p>
    <w:bookmarkEnd w:id="34"/>
    <w:bookmarkStart w:id="35" w:name="X940f739cc6425d99b84e128f190b13e064c5cd0"/>
    <w:p>
      <w:pPr>
        <w:pStyle w:val="Heading3"/>
      </w:pPr>
      <w:r>
        <w:t xml:space="preserve">3.2 Scope 2: Indirect Emissions from Purchased Energy</w:t>
      </w:r>
    </w:p>
    <w:p>
      <w:pPr>
        <w:pStyle w:val="FirstParagraph"/>
      </w:pPr>
      <w:r>
        <w:t xml:space="preserve">These emissions arise from the generation of purchased electricity consumed by zzqnhzxiwf\'s manufacturing operations.</w:t>
      </w:r>
    </w:p>
    <w:p>
      <w:pPr>
        <w:numPr>
          <w:ilvl w:val="0"/>
          <w:numId w:val="1012"/>
        </w:numPr>
        <w:pStyle w:val="Compact"/>
      </w:pPr>
      <w:r>
        <w:rPr>
          <w:bCs/>
          <w:b/>
        </w:rPr>
        <w:t xml:space="preserve">Energy Intensity:</w:t>
      </w:r>
      <w:r>
        <w:t xml:space="preserve"> </w:t>
      </w:r>
      <w:r>
        <w:t xml:space="preserve">0.5 kWh/unit</w:t>
      </w:r>
    </w:p>
    <w:p>
      <w:pPr>
        <w:numPr>
          <w:ilvl w:val="0"/>
          <w:numId w:val="1012"/>
        </w:numPr>
        <w:pStyle w:val="Compact"/>
      </w:pPr>
      <w:r>
        <w:rPr>
          <w:bCs/>
          <w:b/>
        </w:rPr>
        <w:t xml:space="preserve">Renewable Energy Usage:</w:t>
      </w:r>
      <w:r>
        <w:t xml:space="preserve"> </w:t>
      </w:r>
      <w:r>
        <w:t xml:space="preserve">70%</w:t>
      </w:r>
    </w:p>
    <w:p>
      <w:pPr>
        <w:numPr>
          <w:ilvl w:val="0"/>
          <w:numId w:val="1012"/>
        </w:numPr>
        <w:pStyle w:val="Compact"/>
      </w:pPr>
      <w:r>
        <w:rPr>
          <w:bCs/>
          <w:b/>
        </w:rPr>
        <w:t xml:space="preserve">Non-Renewable Energy Usage:</w:t>
      </w:r>
      <w:r>
        <w:t xml:space="preserve"> </w:t>
      </w:r>
      <w:r>
        <w:t xml:space="preserve">30%</w:t>
      </w:r>
    </w:p>
    <w:p>
      <w:pPr>
        <w:numPr>
          <w:ilvl w:val="0"/>
          <w:numId w:val="1012"/>
        </w:numPr>
        <w:pStyle w:val="Compact"/>
      </w:pPr>
      <w:r>
        <w:rPr>
          <w:bCs/>
          <w:b/>
        </w:rPr>
        <w:t xml:space="preserve">China Grid Emission Factor:</w:t>
      </w:r>
      <w:r>
        <w:t xml:space="preserve"> </w:t>
      </w:r>
      <w:r>
        <w:t xml:space="preserve">0.6 kg CO2e/kWh</w:t>
      </w:r>
    </w:p>
    <w:p>
      <w:pPr>
        <w:pStyle w:val="FirstParagraph"/>
      </w:pPr>
      <w:r>
        <w:rPr>
          <w:bCs/>
          <w:b/>
        </w:rPr>
        <w:t xml:space="preserve">Calculation:</w:t>
      </w:r>
      <w:r>
        <w:br/>
      </w:r>
      <w:r>
        <w:t xml:space="preserve">(0.5 kWh/unit * 30%) * 0.6 kg CO2e/kWh = 0.09 kg CO2e/unit</w:t>
      </w:r>
    </w:p>
    <w:p>
      <w:pPr>
        <w:pStyle w:val="BodyText"/>
      </w:pPr>
      <w:r>
        <w:rPr>
          <w:bCs/>
          <w:b/>
        </w:rPr>
        <w:t xml:space="preserve">Scope 2 Emissions:</w:t>
      </w:r>
      <w:r>
        <w:t xml:space="preserve"> </w:t>
      </w:r>
      <w:r>
        <w:t xml:space="preserve">0.09 kg CO2e/unit</w:t>
      </w:r>
    </w:p>
    <w:bookmarkEnd w:id="35"/>
    <w:bookmarkStart w:id="41" w:name="scope-3-value-chain-emissions"/>
    <w:p>
      <w:pPr>
        <w:pStyle w:val="Heading3"/>
      </w:pPr>
      <w:r>
        <w:t xml:space="preserve">3.3 Scope 3: Value Chain Emissions</w:t>
      </w:r>
    </w:p>
    <w:p>
      <w:pPr>
        <w:pStyle w:val="FirstParagraph"/>
      </w:pPr>
      <w:r>
        <w:t xml:space="preserve">Scope 3 emissions represent the most significant portion of a product\'s carbon footprint, covering all upstream and downstream activities. This analysis ensures at least 95% coverage as per 2026 requirements.</w:t>
      </w:r>
    </w:p>
    <w:bookmarkStart w:id="36" w:name="Xd2afc350fd9ea64645be39a78640705471d290a"/>
    <w:p>
      <w:pPr>
        <w:pStyle w:val="Heading4"/>
      </w:pPr>
      <w:r>
        <w:t xml:space="preserve">3.3.1 Category 1: Purchased Goods and Services (Upstream)</w:t>
      </w:r>
    </w:p>
    <w:p>
      <w:pPr>
        <w:pStyle w:val="FirstParagraph"/>
      </w:pPr>
      <w:r>
        <w:t xml:space="preserve">This includes emissions from the extraction, production, and transportation of raw materials and components as detailed in the BOM.</w:t>
      </w:r>
    </w:p>
    <w:p>
      <w:pPr>
        <w:pStyle w:val="BodyText"/>
      </w:pPr>
      <w:r>
        <w:rPr>
          <w:bCs/>
          <w:b/>
        </w:rPr>
        <w:t xml:space="preserve">Total Materials Carbon from BOM:</w:t>
      </w:r>
      <w:r>
        <w:t xml:space="preserve"> </w:t>
      </w:r>
      <w:r>
        <w:t xml:space="preserve">(0.375 + 0.750 + 50.000 + 1.200 + 0.060 + 0.040 + 0.020 + 0.010) kg CO2e = 52.455 kg CO2e/unit</w:t>
      </w:r>
    </w:p>
    <w:p>
      <w:pPr>
        <w:pStyle w:val="BodyText"/>
      </w:pPr>
      <w:r>
        <w:rPr>
          <w:bCs/>
          <w:b/>
        </w:rPr>
        <w:t xml:space="preserve">Category 1 Emissions (Materials):</w:t>
      </w:r>
      <w:r>
        <w:t xml:space="preserve"> </w:t>
      </w:r>
      <w:r>
        <w:t xml:space="preserve">52.455 kg CO2e/unit</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transporting raw materials and components to the manufacturing facility.</w:t>
      </w:r>
    </w:p>
    <w:p>
      <w:pPr>
        <w:numPr>
          <w:ilvl w:val="0"/>
          <w:numId w:val="1013"/>
        </w:numPr>
        <w:pStyle w:val="Compact"/>
      </w:pPr>
      <w:r>
        <w:rPr>
          <w:bCs/>
          <w:b/>
        </w:rPr>
        <w:t xml:space="preserve">Components Transport (Europe to China - Sea Freight):</w:t>
      </w:r>
    </w:p>
    <w:p>
      <w:pPr>
        <w:numPr>
          <w:ilvl w:val="1"/>
          <w:numId w:val="1014"/>
        </w:numPr>
        <w:pStyle w:val="Compact"/>
      </w:pPr>
      <w:r>
        <w:t xml:space="preserve">Distance: 15,000 km</w:t>
      </w:r>
    </w:p>
    <w:p>
      <w:pPr>
        <w:numPr>
          <w:ilvl w:val="1"/>
          <w:numId w:val="1014"/>
        </w:numPr>
        <w:pStyle w:val="Compact"/>
      </w:pPr>
      <w:r>
        <w:t xml:space="preserve">Weight per unit: 0.3 kg (0.0003 tonnes)</w:t>
      </w:r>
    </w:p>
    <w:p>
      <w:pPr>
        <w:numPr>
          <w:ilvl w:val="1"/>
          <w:numId w:val="1014"/>
        </w:numPr>
        <w:pStyle w:val="Compact"/>
      </w:pPr>
      <w:r>
        <w:t xml:space="preserve">Emission Factor: 0.01 kg CO2e/tonne-km</w:t>
      </w:r>
    </w:p>
    <w:p>
      <w:pPr>
        <w:numPr>
          <w:ilvl w:val="1"/>
          <w:numId w:val="1014"/>
        </w:numPr>
        <w:pStyle w:val="Compact"/>
      </w:pPr>
      <w:r>
        <w:t xml:space="preserve">Calculation: 15,000 km * 0.0003 tonnes * 0.01 kg CO2e/tonne-km = 0.045 kg CO2e/unit</w:t>
      </w:r>
    </w:p>
    <w:p>
      <w:pPr>
        <w:pStyle w:val="FirstParagraph"/>
      </w:pPr>
      <w:r>
        <w:rPr>
          <w:bCs/>
          <w:b/>
        </w:rPr>
        <w:t xml:space="preserve">Category 4 Emissions (Upstream Transport):</w:t>
      </w:r>
      <w:r>
        <w:t xml:space="preserve"> </w:t>
      </w:r>
      <w:r>
        <w:t xml:space="preserve">0.045 kg CO2e/unit</w:t>
      </w:r>
    </w:p>
    <w:bookmarkEnd w:id="37"/>
    <w:bookmarkStart w:id="38" w:name="X25a0837e2ca53a982bfb6f58a50970139f4f25f"/>
    <w:p>
      <w:pPr>
        <w:pStyle w:val="Heading4"/>
      </w:pPr>
      <w:r>
        <w:t xml:space="preserve">3.3.3 Category 9: Downstream Transportation and Distribution</w:t>
      </w:r>
    </w:p>
    <w:p>
      <w:pPr>
        <w:pStyle w:val="FirstParagraph"/>
      </w:pPr>
      <w:r>
        <w:t xml:space="preserve">Emissions from transporting the finished product from the factory to the end-consumer.</w:t>
      </w:r>
    </w:p>
    <w:p>
      <w:pPr>
        <w:numPr>
          <w:ilvl w:val="0"/>
          <w:numId w:val="1015"/>
        </w:numPr>
        <w:pStyle w:val="Compact"/>
      </w:pPr>
      <w:r>
        <w:rPr>
          <w:bCs/>
          <w:b/>
        </w:rPr>
        <w:t xml:space="preserve">Product Transport (China to Europe - Sea Freight):</w:t>
      </w:r>
    </w:p>
    <w:p>
      <w:pPr>
        <w:numPr>
          <w:ilvl w:val="1"/>
          <w:numId w:val="1016"/>
        </w:numPr>
        <w:pStyle w:val="Compact"/>
      </w:pPr>
      <w:r>
        <w:t xml:space="preserve">Distance: 18,000 km</w:t>
      </w:r>
    </w:p>
    <w:p>
      <w:pPr>
        <w:numPr>
          <w:ilvl w:val="1"/>
          <w:numId w:val="1016"/>
        </w:numPr>
        <w:pStyle w:val="Compact"/>
      </w:pPr>
      <w:r>
        <w:t xml:space="preserve">Weight per unit: 0.4 kg (0.0004 tonnes)</w:t>
      </w:r>
    </w:p>
    <w:p>
      <w:pPr>
        <w:numPr>
          <w:ilvl w:val="1"/>
          <w:numId w:val="1016"/>
        </w:numPr>
        <w:pStyle w:val="Compact"/>
      </w:pPr>
      <w:r>
        <w:t xml:space="preserve">Emission Factor: 0.01 kg CO2e/tonne-km</w:t>
      </w:r>
    </w:p>
    <w:p>
      <w:pPr>
        <w:numPr>
          <w:ilvl w:val="1"/>
          <w:numId w:val="1016"/>
        </w:numPr>
        <w:pStyle w:val="Compact"/>
      </w:pPr>
      <w:r>
        <w:t xml:space="preserve">Calculation: 18,000 km * 0.0004 tonnes * 0.01 kg CO2e/tonne-km = 0.072 kg CO2e/unit</w:t>
      </w:r>
    </w:p>
    <w:p>
      <w:pPr>
        <w:numPr>
          <w:ilvl w:val="0"/>
          <w:numId w:val="1015"/>
        </w:numPr>
        <w:pStyle w:val="Compact"/>
      </w:pPr>
      <w:r>
        <w:rPr>
          <w:bCs/>
          <w:b/>
        </w:rPr>
        <w:t xml:space="preserve">Last-Mile Delivery (Europe - Road Freight):</w:t>
      </w:r>
    </w:p>
    <w:p>
      <w:pPr>
        <w:numPr>
          <w:ilvl w:val="1"/>
          <w:numId w:val="1017"/>
        </w:numPr>
        <w:pStyle w:val="Compact"/>
      </w:pPr>
      <w:r>
        <w:t xml:space="preserve">Distance: 500 km</w:t>
      </w:r>
    </w:p>
    <w:p>
      <w:pPr>
        <w:numPr>
          <w:ilvl w:val="1"/>
          <w:numId w:val="1017"/>
        </w:numPr>
        <w:pStyle w:val="Compact"/>
      </w:pPr>
      <w:r>
        <w:t xml:space="preserve">Weight per unit: 0.4 kg (0.0004 tonnes)</w:t>
      </w:r>
    </w:p>
    <w:p>
      <w:pPr>
        <w:numPr>
          <w:ilvl w:val="1"/>
          <w:numId w:val="1017"/>
        </w:numPr>
        <w:pStyle w:val="Compact"/>
      </w:pPr>
      <w:r>
        <w:t xml:space="preserve">Emission Factor: 0.09 kg CO2e/tonne-km</w:t>
      </w:r>
    </w:p>
    <w:p>
      <w:pPr>
        <w:numPr>
          <w:ilvl w:val="1"/>
          <w:numId w:val="1017"/>
        </w:numPr>
        <w:pStyle w:val="Compact"/>
      </w:pPr>
      <w:r>
        <w:t xml:space="preserve">Calculation: 500 km * 0.0004 tonnes * 0.09 kg CO2e/tonne-km = 0.018 kg CO2e/unit</w:t>
      </w:r>
    </w:p>
    <w:p>
      <w:pPr>
        <w:pStyle w:val="FirstParagraph"/>
      </w:pPr>
      <w:r>
        <w:rPr>
          <w:bCs/>
          <w:b/>
        </w:rPr>
        <w:t xml:space="preserve">Category 9 Emissions (Downstream Transport):</w:t>
      </w:r>
      <w:r>
        <w:t xml:space="preserve"> </w:t>
      </w:r>
      <w:r>
        <w:t xml:space="preserve">0.072 + 0.018 = 0.090 kg CO2e/unit</w:t>
      </w:r>
    </w:p>
    <w:bookmarkEnd w:id="38"/>
    <w:bookmarkStart w:id="39" w:name="Xe0cdf82e37eae19a4cdef6b47f9b47b5568ac54"/>
    <w:p>
      <w:pPr>
        <w:pStyle w:val="Heading4"/>
      </w:pPr>
      <w:r>
        <w:t xml:space="preserve">3.3.4 Category 11: Use of Sold Products (Downstream)</w:t>
      </w:r>
    </w:p>
    <w:p>
      <w:pPr>
        <w:pStyle w:val="FirstParagraph"/>
      </w:pPr>
      <w:r>
        <w:t xml:space="preserve">Emissions from the energy consumption of msehsjpfqz during its lifespan.</w:t>
      </w:r>
    </w:p>
    <w:p>
      <w:pPr>
        <w:numPr>
          <w:ilvl w:val="0"/>
          <w:numId w:val="1018"/>
        </w:numPr>
        <w:pStyle w:val="Compact"/>
      </w:pPr>
      <w:r>
        <w:rPr>
          <w:bCs/>
          <w:b/>
        </w:rPr>
        <w:t xml:space="preserve">Product Lifespan:</w:t>
      </w:r>
      <w:r>
        <w:t xml:space="preserve"> </w:t>
      </w:r>
      <w:r>
        <w:t xml:space="preserve">5 years</w:t>
      </w:r>
    </w:p>
    <w:p>
      <w:pPr>
        <w:numPr>
          <w:ilvl w:val="0"/>
          <w:numId w:val="1018"/>
        </w:numPr>
        <w:pStyle w:val="Compact"/>
      </w:pPr>
      <w:r>
        <w:rPr>
          <w:bCs/>
          <w:b/>
        </w:rPr>
        <w:t xml:space="preserve">Energy Consumption in Use:</w:t>
      </w:r>
      <w:r>
        <w:t xml:space="preserve"> </w:t>
      </w:r>
      <w:r>
        <w:t xml:space="preserve">0.01 kWh/day</w:t>
      </w:r>
    </w:p>
    <w:p>
      <w:pPr>
        <w:numPr>
          <w:ilvl w:val="0"/>
          <w:numId w:val="1018"/>
        </w:numPr>
        <w:pStyle w:val="Compact"/>
      </w:pPr>
      <w:r>
        <w:rPr>
          <w:bCs/>
          <w:b/>
        </w:rPr>
        <w:t xml:space="preserve">Total kWh over lifespan:</w:t>
      </w:r>
      <w:r>
        <w:t xml:space="preserve"> </w:t>
      </w:r>
      <w:r>
        <w:t xml:space="preserve">0.01 kWh/day * 365 days/year * 5 years = 18.25 kWh</w:t>
      </w:r>
    </w:p>
    <w:p>
      <w:pPr>
        <w:numPr>
          <w:ilvl w:val="0"/>
          <w:numId w:val="1018"/>
        </w:numPr>
        <w:pStyle w:val="Compact"/>
      </w:pPr>
      <w:r>
        <w:rPr>
          <w:bCs/>
          <w:b/>
        </w:rPr>
        <w:t xml:space="preserve">Assumed User Electricity Mix (Europe):</w:t>
      </w:r>
      <w:r>
        <w:t xml:space="preserve"> </w:t>
      </w:r>
      <w:r>
        <w:t xml:space="preserve">0.25 kg CO2e/kWh</w:t>
      </w:r>
    </w:p>
    <w:p>
      <w:pPr>
        <w:pStyle w:val="FirstParagraph"/>
      </w:pPr>
      <w:r>
        <w:rPr>
          <w:bCs/>
          <w:b/>
        </w:rPr>
        <w:t xml:space="preserve">Calculation:</w:t>
      </w:r>
      <w:r>
        <w:br/>
      </w:r>
      <w:r>
        <w:t xml:space="preserve">18.25 kWh * 0.25 kg CO2e/kWh = 4.563 kg CO2e/unit</w:t>
      </w:r>
    </w:p>
    <w:p>
      <w:pPr>
        <w:pStyle w:val="BodyText"/>
      </w:pPr>
      <w:r>
        <w:rPr>
          <w:bCs/>
          <w:b/>
        </w:rPr>
        <w:t xml:space="preserve">Category 11 Emissions (Use Phase):</w:t>
      </w:r>
      <w:r>
        <w:t xml:space="preserve"> </w:t>
      </w:r>
      <w:r>
        <w:t xml:space="preserve">4.563 kg CO2e/unit</w:t>
      </w:r>
    </w:p>
    <w:bookmarkEnd w:id="39"/>
    <w:bookmarkStart w:id="40" w:name="X3bc90abbe2e1645b72b978af62b5f16ed4da77f"/>
    <w:p>
      <w:pPr>
        <w:pStyle w:val="Heading4"/>
      </w:pPr>
      <w:r>
        <w:t xml:space="preserve">3.3.5 Category 12: End-of-Life Treatment of Sold Products (Downstream)</w:t>
      </w:r>
    </w:p>
    <w:p>
      <w:pPr>
        <w:pStyle w:val="FirstParagraph"/>
      </w:pPr>
      <w:r>
        <w:t xml:space="preserve">Emissions and potential avoided emissions from the disposal and recycling of the product.</w:t>
      </w:r>
    </w:p>
    <w:p>
      <w:pPr>
        <w:numPr>
          <w:ilvl w:val="0"/>
          <w:numId w:val="1019"/>
        </w:numPr>
        <w:pStyle w:val="Compact"/>
      </w:pPr>
      <w:r>
        <w:rPr>
          <w:bCs/>
          <w:b/>
        </w:rPr>
        <w:t xml:space="preserve">Recyclability Percentage:</w:t>
      </w:r>
      <w:r>
        <w:t xml:space="preserve"> </w:t>
      </w:r>
      <w:r>
        <w:t xml:space="preserve">60%</w:t>
      </w:r>
    </w:p>
    <w:p>
      <w:pPr>
        <w:numPr>
          <w:ilvl w:val="0"/>
          <w:numId w:val="1019"/>
        </w:numPr>
        <w:pStyle w:val="Compact"/>
      </w:pPr>
      <w:r>
        <w:rPr>
          <w:bCs/>
          <w:b/>
        </w:rPr>
        <w:t xml:space="preserve">Non-Recycled Portion:</w:t>
      </w:r>
      <w:r>
        <w:t xml:space="preserve"> </w:t>
      </w:r>
      <w:r>
        <w:t xml:space="preserve">40%</w:t>
      </w:r>
    </w:p>
    <w:p>
      <w:pPr>
        <w:numPr>
          <w:ilvl w:val="0"/>
          <w:numId w:val="1019"/>
        </w:numPr>
        <w:pStyle w:val="Compact"/>
      </w:pPr>
      <w:r>
        <w:rPr>
          <w:bCs/>
          <w:b/>
        </w:rPr>
        <w:t xml:space="preserve">Product Weight (EoL):</w:t>
      </w:r>
      <w:r>
        <w:t xml:space="preserve"> </w:t>
      </w:r>
      <w:r>
        <w:t xml:space="preserve">0.2 kg (assuming average weight of non-packaging components)</w:t>
      </w:r>
    </w:p>
    <w:p>
      <w:pPr>
        <w:numPr>
          <w:ilvl w:val="0"/>
          <w:numId w:val="1019"/>
        </w:numPr>
        <w:pStyle w:val="Compact"/>
      </w:pPr>
      <w:r>
        <w:rPr>
          <w:bCs/>
          <w:b/>
        </w:rPr>
        <w:t xml:space="preserve">Waste Treatment Emission Factor:</w:t>
      </w:r>
      <w:r>
        <w:t xml:space="preserve"> </w:t>
      </w:r>
      <w:r>
        <w:t xml:space="preserve">0.5 kg CO2e/kg</w:t>
      </w:r>
    </w:p>
    <w:p>
      <w:pPr>
        <w:pStyle w:val="FirstParagraph"/>
      </w:pPr>
      <w:r>
        <w:rPr>
          <w:bCs/>
          <w:b/>
        </w:rPr>
        <w:t xml:space="preserve">Calculation (Non-recycled portion):</w:t>
      </w:r>
      <w:r>
        <w:br/>
      </w:r>
      <w:r>
        <w:t xml:space="preserve">0.2 kg * 40% * 0.5 kg CO2e/kg = 0.04 kg CO2e/unit</w:t>
      </w:r>
    </w:p>
    <w:p>
      <w:pPr>
        <w:pStyle w:val="BodyText"/>
      </w:pPr>
      <w:r>
        <w:rPr>
          <w:bCs/>
          <w:b/>
        </w:rPr>
        <w:t xml:space="preserve">Circular/Take-back Programs:</w:t>
      </w:r>
      <w:r>
        <w:t xml:space="preserve"> </w:t>
      </w:r>
      <w:r>
        <w:t xml:space="preserve">"Yes, company-run take-back and recycling initiatives in key markets." These programs support the high recyclability percentage and contribute to reduced virgin material demand, though specific credits are not quantified in this simplified calculation.</w:t>
      </w:r>
    </w:p>
    <w:p>
      <w:pPr>
        <w:pStyle w:val="BodyText"/>
      </w:pPr>
      <w:r>
        <w:rPr>
          <w:bCs/>
          <w:b/>
        </w:rPr>
        <w:t xml:space="preserve">Category 12 Emissions (End-of-Life):</w:t>
      </w:r>
      <w:r>
        <w:t xml:space="preserve"> </w:t>
      </w:r>
      <w:r>
        <w:t xml:space="preserve">0.04 kg CO2e/unit</w:t>
      </w:r>
    </w:p>
    <w:bookmarkEnd w:id="40"/>
    <w:bookmarkEnd w:id="41"/>
    <w:bookmarkStart w:id="42" w:name="summary-of-emissions-by-scope"/>
    <w:p>
      <w:pPr>
        <w:pStyle w:val="Heading3"/>
      </w:pPr>
      <w:r>
        <w:t xml:space="preserve">3.4 Summary of Emissions by Scope</w:t>
      </w:r>
    </w:p>
    <w:p>
      <w:pPr>
        <w:pStyle w:val="FirstParagraph"/>
      </w:pPr>
      <w:r>
        <w:t xml:space="preserve">The total Product Carbon Footprint for one unit of msehsjpfqz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(assumed negligible for product PCF)</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in China</w:t>
            </w:r>
          </w:p>
        </w:tc>
        <w:tc>
          <w:tcPr/>
          <w:p>
            <w:pPr>
              <w:pStyle w:val="Compact"/>
              <w:jc w:val="left"/>
            </w:pPr>
            <w:r>
              <w:t xml:space="preserve">0.090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52.455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0.045</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0.090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4.563</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0.040</w:t>
            </w:r>
          </w:p>
        </w:tc>
      </w:tr>
      <w:tr>
        <w:tc>
          <w:tcPr>
            <w:gridSpan w:val="3"/>
          </w:tcPr>
          <w:p>
            <w:pPr>
              <w:pStyle w:val="Compact"/>
              <w:jc w:val="left"/>
            </w:pPr>
            <w:r>
              <w:t xml:space="preserve">Total Product Carbon Footprint</w:t>
            </w:r>
          </w:p>
        </w:tc>
        <w:tc>
          <w:tcPr/>
          <w:p>
            <w:pPr>
              <w:pStyle w:val="Compact"/>
              <w:jc w:val="left"/>
            </w:pPr>
            <w:r>
              <w:t xml:space="preserve">57.283 kg CO2e/unit</w:t>
            </w:r>
          </w:p>
        </w:tc>
      </w:tr>
    </w:tbl>
    <w:bookmarkEnd w:id="42"/>
    <w:bookmarkStart w:id="43" w:name="lsr-update-consideration"/>
    <w:p>
      <w:pPr>
        <w:pStyle w:val="Heading3"/>
      </w:pPr>
      <w:r>
        <w:t xml:space="preserve">3.5 2026 LSR Update Consideration</w:t>
      </w:r>
    </w:p>
    <w:p>
      <w:pPr>
        <w:pStyle w:val="FirstParagraph"/>
      </w:pPr>
      <w:r>
        <w:t xml:space="preserve">The Land Sector and Removals (LSR) Standard (2026 update) is conceptually applied to acknowledge any land-use change emissions or carbon removals within the supply chain. For this product, direct land-use change associated with specific raw materials (e.g., bio-based materials from newly deforested land) or carbon sequestration from specific processes (e.g., sustainable forestry for packaging) would be accounted for. Given the provided data, direct LSR impacts are not explicitly quantified but are noted as a critical consideration for future, more granular assessments, especially concerning raw material sourcing transparency.</w:t>
      </w:r>
    </w:p>
    <w:p>
      <w:r>
        <w:pict>
          <v:rect style="width:0;height:1.5pt" o:hralign="center" o:hrstd="t" o:hr="t"/>
        </w:pict>
      </w:r>
    </w:p>
    <w:bookmarkEnd w:id="43"/>
    <w:bookmarkEnd w:id="44"/>
    <w:bookmarkStart w:id="48" w:name="review-report"/>
    <w:p>
      <w:pPr>
        <w:pStyle w:val="Heading2"/>
      </w:pPr>
      <w:r>
        <w:t xml:space="preserve">4. Review &amp; Report</w:t>
      </w:r>
    </w:p>
    <w:bookmarkStart w:id="45" w:name="emission-hotspots"/>
    <w:p>
      <w:pPr>
        <w:pStyle w:val="Heading3"/>
      </w:pPr>
      <w:r>
        <w:t xml:space="preserve">4.1 Emission Hotspots</w:t>
      </w:r>
    </w:p>
    <w:p>
      <w:pPr>
        <w:pStyle w:val="FirstParagraph"/>
      </w:pPr>
      <w:r>
        <w:t xml:space="preserve">The analysis clearly highlights the following emission hotspots for msehsjpfqz:</w:t>
      </w:r>
    </w:p>
    <w:p>
      <w:pPr>
        <w:numPr>
          <w:ilvl w:val="0"/>
          <w:numId w:val="1020"/>
        </w:numPr>
        <w:pStyle w:val="Compact"/>
      </w:pPr>
      <w:r>
        <w:rPr>
          <w:bCs/>
          <w:b/>
        </w:rPr>
        <w:t xml:space="preserve">Materials (Scope 3, Category 1):</w:t>
      </w:r>
      <w:r>
        <w:t xml:space="preserve"> </w:t>
      </w:r>
      <w:r>
        <w:t xml:space="preserve">This is overwhelmingly the largest contributor, primarily due to the Microcontroller Unit, accounting for over 90% of the total footprint. This indicates that the choice of electronic components and their manufacturing processes are critical areas for reduction.</w:t>
      </w:r>
    </w:p>
    <w:p>
      <w:pPr>
        <w:numPr>
          <w:ilvl w:val="0"/>
          <w:numId w:val="1020"/>
        </w:numPr>
        <w:pStyle w:val="Compact"/>
      </w:pPr>
      <w:r>
        <w:rPr>
          <w:bCs/>
          <w:b/>
        </w:rPr>
        <w:t xml:space="preserve">Use Phase (Scope 3, Category 11):</w:t>
      </w:r>
      <w:r>
        <w:t xml:space="preserve"> </w:t>
      </w:r>
      <w:r>
        <w:t xml:space="preserve">Energy consumption during the product\'s 5-year lifespan is the second-largest hotspot, demonstrating the importance of energy efficiency in product design and the energy mix of the end-user.</w:t>
      </w:r>
    </w:p>
    <w:p>
      <w:pPr>
        <w:numPr>
          <w:ilvl w:val="0"/>
          <w:numId w:val="1020"/>
        </w:numPr>
        <w:pStyle w:val="Compact"/>
      </w:pPr>
      <w:r>
        <w:rPr>
          <w:bCs/>
          <w:b/>
        </w:rPr>
        <w:t xml:space="preserve">Manufacturing Energy (Scope 2):</w:t>
      </w:r>
      <w:r>
        <w:t xml:space="preserve"> </w:t>
      </w:r>
      <w:r>
        <w:t xml:space="preserve">While significant, the high renewable energy usage (70%) at the production facility substantially mitigates its impact. Without this, Scope 2 emissions would be considerably higher.</w:t>
      </w:r>
    </w:p>
    <w:p>
      <w:pPr>
        <w:numPr>
          <w:ilvl w:val="0"/>
          <w:numId w:val="1020"/>
        </w:numPr>
        <w:pStyle w:val="Compact"/>
      </w:pPr>
      <w:r>
        <w:rPr>
          <w:bCs/>
          <w:b/>
        </w:rPr>
        <w:t xml:space="preserve">Transportation (Scope 3, Categories 4 &amp; 9):</w:t>
      </w:r>
      <w:r>
        <w:t xml:space="preserve"> </w:t>
      </w:r>
      <w:r>
        <w:t xml:space="preserve">Emissions from both upstream and downstream logistics are relatively minor compared to materials and use phase, but still warrant optimization (e.g., mode shifting, route optimization).</w:t>
      </w:r>
    </w:p>
    <w:bookmarkEnd w:id="45"/>
    <w:bookmarkStart w:id="46" w:name="reliability-statement"/>
    <w:p>
      <w:pPr>
        <w:pStyle w:val="Heading3"/>
      </w:pPr>
      <w:r>
        <w:t xml:space="preserve">4.2 Reliability Statement</w:t>
      </w:r>
    </w:p>
    <w:p>
      <w:pPr>
        <w:pStyle w:val="FirstParagraph"/>
      </w:pPr>
      <w:r>
        <w:t xml:space="preserve">The calculations are based on the provided parameters and estimated industry-standard emission factors. The reliability of this report is directly dependent on the accuracy and completeness of the input data. Key assumptions include:</w:t>
      </w:r>
    </w:p>
    <w:p>
      <w:pPr>
        <w:numPr>
          <w:ilvl w:val="0"/>
          <w:numId w:val="1021"/>
        </w:numPr>
        <w:pStyle w:val="Compact"/>
      </w:pPr>
      <w:r>
        <w:rPr>
          <w:bCs/>
          <w:b/>
        </w:rPr>
        <w:t xml:space="preserve">BOM Emission Factors:</w:t>
      </w:r>
      <w:r>
        <w:t xml:space="preserve"> </w:t>
      </w:r>
      <w:r>
        <w:t xml:space="preserve">Assumed factors for specific components and processes. Actual values may vary based on supplier-specific data.</w:t>
      </w:r>
    </w:p>
    <w:p>
      <w:pPr>
        <w:numPr>
          <w:ilvl w:val="0"/>
          <w:numId w:val="1021"/>
        </w:numPr>
        <w:pStyle w:val="Compact"/>
      </w:pPr>
      <w:r>
        <w:rPr>
          <w:bCs/>
          <w:b/>
        </w:rPr>
        <w:t xml:space="preserve">Energy Mix:</w:t>
      </w:r>
      <w:r>
        <w:t xml:space="preserve"> </w:t>
      </w:r>
      <w:r>
        <w:t xml:space="preserve">General country-level or regional grid emission factors are used for electricity where primary data is unavailable.</w:t>
      </w:r>
    </w:p>
    <w:p>
      <w:pPr>
        <w:numPr>
          <w:ilvl w:val="0"/>
          <w:numId w:val="1021"/>
        </w:numPr>
        <w:pStyle w:val="Compact"/>
      </w:pPr>
      <w:r>
        <w:rPr>
          <w:bCs/>
          <w:b/>
        </w:rPr>
        <w:t xml:space="preserve">Transport Efficiency:</w:t>
      </w:r>
      <w:r>
        <w:t xml:space="preserve"> </w:t>
      </w:r>
      <w:r>
        <w:t xml:space="preserve">Average emission factors for transport modes are applied; actual operational efficiency may differ.</w:t>
      </w:r>
    </w:p>
    <w:p>
      <w:pPr>
        <w:numPr>
          <w:ilvl w:val="0"/>
          <w:numId w:val="1021"/>
        </w:numPr>
        <w:pStyle w:val="Compact"/>
      </w:pPr>
      <w:r>
        <w:rPr>
          <w:bCs/>
          <w:b/>
        </w:rPr>
        <w:t xml:space="preserve">End-of-Life Assumptions:</w:t>
      </w:r>
      <w:r>
        <w:t xml:space="preserve"> </w:t>
      </w:r>
      <w:r>
        <w:t xml:space="preserve">The recyclability percentage and waste treatment factors are generalized.</w:t>
      </w:r>
    </w:p>
    <w:p>
      <w:pPr>
        <w:pStyle w:val="FirstParagraph"/>
      </w:pPr>
      <w:r>
        <w:t xml:space="preserve">Further refinement would require direct engagement with suppliers for primary data collection across the value chain.</w:t>
      </w:r>
    </w:p>
    <w:bookmarkEnd w:id="46"/>
    <w:bookmarkStart w:id="47" w:name="scope-3-compliance"/>
    <w:p>
      <w:pPr>
        <w:pStyle w:val="Heading3"/>
      </w:pPr>
      <w:r>
        <w:t xml:space="preserve">4.3 Scope 3 Compliance</w:t>
      </w:r>
    </w:p>
    <w:p>
      <w:pPr>
        <w:pStyle w:val="FirstParagraph"/>
      </w:pPr>
      <w:r>
        <w:t xml:space="preserve">This analysis demonstrates a comprehensive approach to Scope 3 reporting, covering all relevant categories from purchased goods to end-of-life. By including detailed material inputs, transport, use phase, and end-of-life, the report aims to achieve at least 95% coverage of significant Scope 3 emissions, aligning with 2026 GHG Protocol requirements. The focus on high-impact areas like materials and product use ensures that the most material Scope 3 sources are quantified.</w:t>
      </w:r>
    </w:p>
    <w:p>
      <w:r>
        <w:pict>
          <v:rect style="width:0;height:1.5pt" o:hralign="center" o:hrstd="t" o:hr="t"/>
        </w:pict>
      </w:r>
    </w:p>
    <w:bookmarkEnd w:id="47"/>
    <w:bookmarkEnd w:id="48"/>
    <w:bookmarkStart w:id="49" w:name="recommendations-for-emission-reduction"/>
    <w:p>
      <w:pPr>
        <w:pStyle w:val="Heading2"/>
      </w:pPr>
      <w:r>
        <w:t xml:space="preserve">5. Recommendations for Emission Reduction</w:t>
      </w:r>
    </w:p>
    <w:p>
      <w:pPr>
        <w:numPr>
          <w:ilvl w:val="0"/>
          <w:numId w:val="1022"/>
        </w:numPr>
        <w:pStyle w:val="Compact"/>
      </w:pPr>
      <w:r>
        <w:rPr>
          <w:bCs/>
          <w:b/>
        </w:rPr>
        <w:t xml:space="preserve">Material Optimization:</w:t>
      </w:r>
      <w:r>
        <w:t xml:space="preserve"> </w:t>
      </w:r>
      <w:r>
        <w:t xml:space="preserve">Focus on redesigning the product to reduce the quantity of high-impact materials, particularly the microcontroller and other electronic components, or source lower-carbon alternatives. Engage with suppliers to obtain product-specific EPDs (Environmental Product Declarations) for materials.</w:t>
      </w:r>
    </w:p>
    <w:p>
      <w:pPr>
        <w:numPr>
          <w:ilvl w:val="0"/>
          <w:numId w:val="1022"/>
        </w:numPr>
        <w:pStyle w:val="Compact"/>
      </w:pPr>
      <w:r>
        <w:rPr>
          <w:bCs/>
          <w:b/>
        </w:rPr>
        <w:t xml:space="preserve">Energy Efficiency in Use Phase:</w:t>
      </w:r>
      <w:r>
        <w:t xml:space="preserve"> </w:t>
      </w:r>
      <w:r>
        <w:t xml:space="preserve">Invest in R&amp;D to improve the energy efficiency of msehsjpfqz during its operational life. Provide users with clear guidelines on efficient use and explore low-power modes.</w:t>
      </w:r>
    </w:p>
    <w:p>
      <w:pPr>
        <w:numPr>
          <w:ilvl w:val="0"/>
          <w:numId w:val="1022"/>
        </w:numPr>
        <w:pStyle w:val="Compact"/>
      </w:pPr>
      <w:r>
        <w:rPr>
          <w:bCs/>
          <w:b/>
        </w:rPr>
        <w:t xml:space="preserve">Supply Chain Engagement:</w:t>
      </w:r>
      <w:r>
        <w:t xml:space="preserve"> </w:t>
      </w:r>
      <w:r>
        <w:t xml:space="preserve">Work closely with material and component suppliers to encourage their transition to renewable energy and more sustainable manufacturing processes. Prioritize suppliers with lower embodied carbon.</w:t>
      </w:r>
    </w:p>
    <w:p>
      <w:pPr>
        <w:numPr>
          <w:ilvl w:val="0"/>
          <w:numId w:val="1022"/>
        </w:numPr>
        <w:pStyle w:val="Compact"/>
      </w:pPr>
      <w:r>
        <w:rPr>
          <w:bCs/>
          <w:b/>
        </w:rPr>
        <w:t xml:space="preserve">Circular Economy Initiatives:</w:t>
      </w:r>
      <w:r>
        <w:t xml:space="preserve"> </w:t>
      </w:r>
      <w:r>
        <w:t xml:space="preserve">Strengthen take-back and recycling programs (as indicated by \'kvprlsfzsr\') to maximize material recovery and reduce reliance on virgin materials, potentially generating avoided emissions credits in future detailed assessments. Explore product longevity and repairability.</w:t>
      </w:r>
    </w:p>
    <w:p>
      <w:pPr>
        <w:numPr>
          <w:ilvl w:val="0"/>
          <w:numId w:val="1022"/>
        </w:numPr>
        <w:pStyle w:val="Compact"/>
      </w:pPr>
      <w:r>
        <w:rPr>
          <w:bCs/>
          <w:b/>
        </w:rPr>
        <w:t xml:space="preserve">Logistics Optimization:</w:t>
      </w:r>
      <w:r>
        <w:t xml:space="preserve"> </w:t>
      </w:r>
      <w:r>
        <w:t xml:space="preserve">Continuously review transport modes and routes to minimize distances and emissions, especially for last-mile delivery.</w:t>
      </w:r>
    </w:p>
    <w:p>
      <w:pPr>
        <w:pStyle w:val="FirstParagraph"/>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msehsjpfqz</dc:title>
  <dc:creator/>
  <dc:description>Detailed Product Carbon Footprint (PCF) analysis report for msehsjpfqz by zzqnhzxiwf, performed by Senior Sustainability Consultant ngoriihnvl, adhering to GHG Protocol standards and 2026 LSR updates.</dc:description>
  <dc:language>en</dc:language>
  <cp:keywords/>
  <dcterms:created xsi:type="dcterms:W3CDTF">2026-07-15T00:35:36Z</dcterms:created>
  <dcterms:modified xsi:type="dcterms:W3CDTF">2026-07-15T00:35:36Z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