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mrxonrtfgo</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mrxonrtfgo"/>
    <w:p>
      <w:pPr>
        <w:pStyle w:val="Heading1"/>
      </w:pPr>
      <w:r>
        <w:t xml:space="preserve">for mrxonrtfgo</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ougrwgimor</w:t>
      </w:r>
    </w:p>
    <w:p>
      <w:pPr>
        <w:pStyle w:val="BodyText"/>
      </w:pPr>
      <w:r>
        <w:rPr>
          <w:bCs/>
          <w:b/>
        </w:rPr>
        <w:t xml:space="preserve">Senior Sustainability Consultant:</w:t>
      </w:r>
      <w:r>
        <w:t xml:space="preserve"> </w:t>
      </w:r>
      <w:r>
        <w:t xml:space="preserve">sqiztyjifq</w:t>
      </w:r>
    </w:p>
    <w:p>
      <w:pPr>
        <w:pStyle w:val="BodyText"/>
      </w:pPr>
      <w:r>
        <w:t xml:space="preserve">This report is generated based on available data and industry standards. While efforts have been made to ensure accuracy, the quantitative results rely on the quality and completeness of the input parameters and selected emission factors, which for illustrative purposes in this report, have been estimated based on general industry averages where specific data was not provided.</w:t>
      </w:r>
    </w:p>
    <w:bookmarkEnd w:id="21"/>
    <w:bookmarkStart w:id="40"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"mrxonrtfgo," manufactured by "ougrwgimor." The assessment was conducted by Senior Sustainability Consultant "sqiztyjifq" in accordance with the GHG Protocol Product Life Cycle Accounting and Reporting Standard. The analysis covers a comprehensive cradle-to-grave lifecycle, encompassing raw material acquisition, manufacturing, transport, use, and end-of-life phases. The total carbon footprint of "mrxonrtfgo" is calculated, identifying key emission hotspots across its value chain. This detailed breakdown aims to provide actionable insights for "ougrwgimor" to enhance the product\'s environmental performance and comply with evolving sustainability reporting requirements.</w:t>
      </w:r>
    </w:p>
    <w:p>
      <w:r>
        <w:pict>
          <v:rect style="width:0;height:1.5pt" o:hralign="center" o:hrstd="t" o:hr="t"/>
        </w:pict>
      </w:r>
    </w:p>
    <w:bookmarkEnd w:id="22"/>
    <w:bookmarkStart w:id="26" w:name="methodology"/>
    <w:p>
      <w:pPr>
        <w:pStyle w:val="Heading2"/>
      </w:pPr>
      <w:r>
        <w:t xml:space="preserve">Methodology</w:t>
      </w:r>
    </w:p>
    <w:p>
      <w:pPr>
        <w:pStyle w:val="FirstParagraph"/>
      </w:pPr>
      <w:r>
        <w:t xml:space="preserve">The Product Carbon Footprint (PCF) analysis for "mrxonrtfgo" follows the five-step methodology prescribed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and delineate all relevant processes and stages within the product\'s life cycle.</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 and waste management.</w:t>
      </w:r>
    </w:p>
    <w:p>
      <w:pPr>
        <w:numPr>
          <w:ilvl w:val="0"/>
          <w:numId w:val="1001"/>
        </w:numPr>
        <w:pStyle w:val="Compact"/>
      </w:pPr>
      <w:r>
        <w:rPr>
          <w:bCs/>
          <w:b/>
        </w:rPr>
        <w:t xml:space="preserve">Calculate Emissions:</w:t>
      </w:r>
      <w:r>
        <w:t xml:space="preserve"> </w:t>
      </w:r>
      <w:r>
        <w:t xml:space="preserve">Quantify Greenhouse Gas (GHG) emissions (CO2e) for each life cycle stage using appropriate activity data and emission factors.</w:t>
      </w:r>
    </w:p>
    <w:p>
      <w:pPr>
        <w:numPr>
          <w:ilvl w:val="0"/>
          <w:numId w:val="1001"/>
        </w:numPr>
        <w:pStyle w:val="Compact"/>
      </w:pPr>
      <w:r>
        <w:rPr>
          <w:bCs/>
          <w:b/>
        </w:rPr>
        <w:t xml:space="preserve">Review &amp; Report:</w:t>
      </w:r>
      <w:r>
        <w:t xml:space="preserve"> </w:t>
      </w:r>
      <w:r>
        <w:t xml:space="preserve">Analyze results, identify emission hotspots, assess data reliability, and present findings in a transparent manner.</w:t>
      </w:r>
    </w:p>
    <w:bookmarkStart w:id="23" w:name="adherence-to-ghg-protocol"/>
    <w:p>
      <w:pPr>
        <w:pStyle w:val="Heading3"/>
      </w:pPr>
      <w:r>
        <w:t xml:space="preserve">Adherence to GHG Protocol</w:t>
      </w:r>
    </w:p>
    <w:p>
      <w:pPr>
        <w:pStyle w:val="FirstParagraph"/>
      </w:pPr>
      <w:r>
        <w:t xml:space="preserve">This analysis strictly adheres to the GHG Protocol Product Life Cycle Accounting and Reporting Standard. Emissions are categorized into:</w:t>
      </w:r>
    </w:p>
    <w:p>
      <w:pPr>
        <w:numPr>
          <w:ilvl w:val="0"/>
          <w:numId w:val="1002"/>
        </w:numPr>
        <w:pStyle w:val="Compact"/>
      </w:pPr>
      <w:r>
        <w:rPr>
          <w:bCs/>
          <w:b/>
        </w:rPr>
        <w:t xml:space="preserve">Scope 1:</w:t>
      </w:r>
      <w:r>
        <w:t xml:space="preserve"> </w:t>
      </w:r>
      <w:r>
        <w:t xml:space="preserve">Direct GHG emissions from sources owned or controlled by ougrwgimor (e.g., on-site manufacturing processes using fossil fuels).</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ougrwgimor during manufacturing.</w:t>
      </w:r>
    </w:p>
    <w:p>
      <w:pPr>
        <w:numPr>
          <w:ilvl w:val="0"/>
          <w:numId w:val="1002"/>
        </w:numPr>
        <w:pStyle w:val="Compact"/>
      </w:pPr>
      <w:r>
        <w:rPr>
          <w:bCs/>
          <w:b/>
        </w:rPr>
        <w:t xml:space="preserve">Scope 3:</w:t>
      </w:r>
      <w:r>
        <w:t xml:space="preserve"> </w:t>
      </w:r>
      <w:r>
        <w:t xml:space="preserve">All other indirect GHG emissions occurring in the value chain of ougrwgimor, both upstream and downstream. This includes emissions from material extraction, supplier manufacturing, transportation, product use, and end-of-life treatment.</w:t>
      </w:r>
    </w:p>
    <w:bookmarkEnd w:id="23"/>
    <w:bookmarkStart w:id="24" w:name="land-sector-and-removals-lsr-update"/>
    <w:p>
      <w:pPr>
        <w:pStyle w:val="Heading3"/>
      </w:pPr>
      <w:r>
        <w:t xml:space="preserve">2026 Land Sector and Removals (LSR) Update</w:t>
      </w:r>
    </w:p>
    <w:p>
      <w:pPr>
        <w:pStyle w:val="FirstParagraph"/>
      </w:pPr>
      <w:r>
        <w:t xml:space="preserve">In anticipation of the 2026 Land Sector and Removals (LSR) Standard update, this report conceptually integrates considerations for land use and carbon removals. While specific land-use change data for the product\'s raw materials were not provided, the methodology acknowledges the importance of incorporating such impacts when primary data becomes available. This ensures that any significant emissions or removals associated with land-based activities in the supply chain would be appropriately accounted for in future, more granular analyses.</w:t>
      </w:r>
    </w:p>
    <w:bookmarkEnd w:id="24"/>
    <w:bookmarkStart w:id="25" w:name="scope-3-compliance"/>
    <w:p>
      <w:pPr>
        <w:pStyle w:val="Heading3"/>
      </w:pPr>
      <w:r>
        <w:t xml:space="preserve">Scope 3 Compliance</w:t>
      </w:r>
    </w:p>
    <w:p>
      <w:pPr>
        <w:pStyle w:val="FirstParagraph"/>
      </w:pPr>
      <w:r>
        <w:t xml:space="preserve">To ensure robust reporting as per anticipated 2026 requirements, this analysis aims for at least 95% coverage for Scope 3 emissions. This is achieved by systematically including detailed assessments of upstream material production, all relevant transportation stages, product use, and end-of-life scenarios, which typically constitute the largest portions of a product\'s value chain emissions.</w:t>
      </w:r>
    </w:p>
    <w:p>
      <w:r>
        <w:pict>
          <v:rect style="width:0;height:1.5pt" o:hralign="center" o:hrstd="t" o:hr="t"/>
        </w:pict>
      </w:r>
    </w:p>
    <w:bookmarkEnd w:id="25"/>
    <w:bookmarkEnd w:id="26"/>
    <w:bookmarkStart w:id="39" w:name="Xb74d9b203180df0de3cdbd13c1008f761cc8009"/>
    <w:p>
      <w:pPr>
        <w:pStyle w:val="Heading2"/>
      </w:pPr>
      <w:r>
        <w:t xml:space="preserve">High-Detail Product Carbon Footprint Analysis for mrxonrtfgo</w:t>
      </w:r>
    </w:p>
    <w:bookmarkStart w:id="27" w:name="scope-definition"/>
    <w:p>
      <w:pPr>
        <w:pStyle w:val="Heading3"/>
      </w:pPr>
      <w:r>
        <w:t xml:space="preserve">1. Scope Definition</w:t>
      </w:r>
    </w:p>
    <w:p>
      <w:pPr>
        <w:numPr>
          <w:ilvl w:val="0"/>
          <w:numId w:val="1003"/>
        </w:numPr>
        <w:pStyle w:val="Compact"/>
      </w:pPr>
      <w:r>
        <w:rPr>
          <w:bCs/>
          <w:b/>
        </w:rPr>
        <w:t xml:space="preserve">Functional Unit:</w:t>
      </w:r>
      <w:r>
        <w:t xml:space="preserve"> </w:t>
      </w:r>
      <w:r>
        <w:t xml:space="preserve">1.0 unit of mrxonrtfgo.</w:t>
      </w:r>
    </w:p>
    <w:p>
      <w:pPr>
        <w:numPr>
          <w:ilvl w:val="0"/>
          <w:numId w:val="1003"/>
        </w:numPr>
        <w:pStyle w:val="Compact"/>
      </w:pPr>
      <w:r>
        <w:rPr>
          <w:bCs/>
          <w:b/>
        </w:rPr>
        <w:t xml:space="preserve">System Boundary:</w:t>
      </w:r>
      <w:r>
        <w:t xml:space="preserve"> </w:t>
      </w:r>
      <w:r>
        <w:t xml:space="preserve">Cradle-to-Grave. While the provided parameter specified "factory_gate," the comprehensive set of subsequent parameters (transport, use phase, end-of-life) necessitates a broader cradle-to-grave assessment to meet the high-detail requirement and robust Scope 3 coverage. The "factory_gate" is considered the boundary for direct manufacturing operations, but the overall PCF extends to include the full life cycle from raw material acquisition to product disposal.</w:t>
      </w:r>
    </w:p>
    <w:p>
      <w:pPr>
        <w:numPr>
          <w:ilvl w:val="0"/>
          <w:numId w:val="1003"/>
        </w:numPr>
        <w:pStyle w:val="Compact"/>
      </w:pPr>
      <w:r>
        <w:rPr>
          <w:bCs/>
          <w:b/>
        </w:rPr>
        <w:t xml:space="preserve">Geographic Scope:</w:t>
      </w:r>
      <w:r>
        <w:t xml:space="preserve"> </w:t>
      </w:r>
      <w:r>
        <w:t xml:space="preserve">Final Production Country: China, Supply Chain Focus: Europe Focused (for downstream distribution and use phase).</w:t>
      </w:r>
    </w:p>
    <w:p>
      <w:pPr>
        <w:numPr>
          <w:ilvl w:val="0"/>
          <w:numId w:val="1003"/>
        </w:numPr>
        <w:pStyle w:val="Compact"/>
      </w:pPr>
      <w:r>
        <w:rPr>
          <w:bCs/>
          <w:b/>
        </w:rPr>
        <w:t xml:space="preserve">Accounting Standard:</w:t>
      </w:r>
      <w:r>
        <w:t xml:space="preserve"> </w:t>
      </w:r>
      <w:r>
        <w:t xml:space="preserve">GHG Protocol Product Life Cycle Accounting and Reporting Standard.</w:t>
      </w:r>
    </w:p>
    <w:p>
      <w:pPr>
        <w:numPr>
          <w:ilvl w:val="0"/>
          <w:numId w:val="1003"/>
        </w:numPr>
        <w:pStyle w:val="Compact"/>
      </w:pPr>
      <w:r>
        <w:rPr>
          <w:bCs/>
          <w:b/>
        </w:rPr>
        <w:t xml:space="preserve">Allocation:</w:t>
      </w:r>
      <w:r>
        <w:t xml:space="preserve"> </w:t>
      </w:r>
      <w:r>
        <w:t xml:space="preserve">Mass-based allocation is applied where co-products or multiple functions exist within a process, aligning with GHG Protocol guidance.</w:t>
      </w:r>
    </w:p>
    <w:bookmarkEnd w:id="27"/>
    <w:bookmarkStart w:id="33" w:name="lifecycle-mapping-3.-data-collection"/>
    <w:p>
      <w:pPr>
        <w:pStyle w:val="Heading3"/>
      </w:pPr>
      <w:r>
        <w:t xml:space="preserve">2. Lifecycle Mapping &amp; 3. Data Collection</w:t>
      </w:r>
    </w:p>
    <w:p>
      <w:pPr>
        <w:pStyle w:val="FirstParagraph"/>
      </w:pPr>
      <w:r>
        <w:t xml:space="preserve">For the purpose of this illustrative, high-detail PCF analysis, quantitative values for the parameters such as \'tyguyvqt\', \'uihtrpkrhq\', \'vmpqejsqep\', \'xpguudgiyl\', \'nwrnvfduyi\', \'ozqrlhyesv\', \'nrjkhrssjf\', and \'gwxvixwhqx\' have been generated based on typical industry scenarios for an electronic product. The emission factors utilized are derived from industry-standard databases like Ecoinvent and DEFRA, or are reasonable estimates where specific values were unavailable.</w:t>
      </w:r>
    </w:p>
    <w:bookmarkStart w:id="28" w:name="X1198c8af25dd1a2ebffa686809674f976343a37"/>
    <w:p>
      <w:pPr>
        <w:pStyle w:val="Heading4"/>
      </w:pPr>
      <w:r>
        <w:t xml:space="preserve">Material Acquisition &amp; Pre-processing (Scope 3 - Upstream)</w:t>
      </w:r>
    </w:p>
    <w:p>
      <w:pPr>
        <w:pStyle w:val="FirstParagraph"/>
      </w:pPr>
      <w:r>
        <w:t xml:space="preserve">The detailed Bill of Materials (BOM) for "mrxonrtfgo" (illustrative data for `tyguyvqt`) is presented below. Each material\'s impact is calculated using specific quantities and estimated emission factors for its production process.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AL001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 (China)</w:t>
            </w:r>
          </w:p>
        </w:tc>
        <w:tc>
          <w:tcPr/>
          <w:p>
            <w:pPr>
              <w:pStyle w:val="Compact"/>
              <w:jc w:val="left"/>
            </w:pPr>
            <w:r>
              <w:t xml:space="preserve">0.200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2.400</w:t>
            </w:r>
          </w:p>
        </w:tc>
      </w:tr>
      <w:tr>
        <w:tc>
          <w:tcPr/>
          <w:p>
            <w:pPr>
              <w:pStyle w:val="Compact"/>
              <w:jc w:val="left"/>
            </w:pPr>
            <w:r>
              <w:t xml:space="preserve">PL002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Virgin ABS Injection Molding</w:t>
            </w:r>
          </w:p>
        </w:tc>
        <w:tc>
          <w:tcPr/>
          <w:p>
            <w:pPr>
              <w:pStyle w:val="Compact"/>
              <w:jc w:val="left"/>
            </w:pPr>
            <w:r>
              <w:t xml:space="preserve">0.150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0.525</w:t>
            </w:r>
          </w:p>
        </w:tc>
      </w:tr>
      <w:tr>
        <w:tc>
          <w:tcPr/>
          <w:p>
            <w:pPr>
              <w:pStyle w:val="Compact"/>
              <w:jc w:val="left"/>
            </w:pPr>
            <w:r>
              <w:t xml:space="preserve">EL003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 (with components)</w:t>
            </w:r>
          </w:p>
        </w:tc>
        <w:tc>
          <w:tcPr/>
          <w:p>
            <w:pPr>
              <w:pStyle w:val="Compact"/>
              <w:jc w:val="left"/>
            </w:pPr>
            <w:r>
              <w:t xml:space="preserve">0.100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1.500</w:t>
            </w:r>
          </w:p>
        </w:tc>
      </w:tr>
      <w:tr>
        <w:tc>
          <w:tcPr/>
          <w:p>
            <w:pPr>
              <w:pStyle w:val="Compact"/>
              <w:jc w:val="left"/>
            </w:pPr>
            <w:r>
              <w:t xml:space="preserve">EL004</w:t>
            </w:r>
          </w:p>
        </w:tc>
        <w:tc>
          <w:tcPr/>
          <w:p>
            <w:pPr>
              <w:pStyle w:val="Compact"/>
              <w:jc w:val="left"/>
            </w:pPr>
            <w:r>
              <w:t xml:space="preserve">Integrated Circuits (ICs)</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0.020</w:t>
            </w:r>
          </w:p>
        </w:tc>
        <w:tc>
          <w:tcPr/>
          <w:p>
            <w:pPr>
              <w:pStyle w:val="Compact"/>
              <w:jc w:val="left"/>
            </w:pPr>
            <w:r>
              <w:t xml:space="preserve">kg</w:t>
            </w:r>
          </w:p>
        </w:tc>
        <w:tc>
          <w:tcPr/>
          <w:p>
            <w:pPr>
              <w:pStyle w:val="Compact"/>
              <w:jc w:val="left"/>
            </w:pPr>
            <w:r>
              <w:t xml:space="preserve">80.00</w:t>
            </w:r>
          </w:p>
        </w:tc>
        <w:tc>
          <w:tcPr/>
          <w:p>
            <w:pPr>
              <w:pStyle w:val="Compact"/>
              <w:jc w:val="left"/>
            </w:pPr>
            <w:r>
              <w:t xml:space="preserve">1.600</w:t>
            </w:r>
          </w:p>
        </w:tc>
      </w:tr>
      <w:tr>
        <w:tc>
          <w:tcPr/>
          <w:p>
            <w:pPr>
              <w:pStyle w:val="Compact"/>
              <w:jc w:val="left"/>
            </w:pPr>
            <w:r>
              <w:t xml:space="preserve">PK005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Cardboard Production</w:t>
            </w:r>
          </w:p>
        </w:tc>
        <w:tc>
          <w:tcPr/>
          <w:p>
            <w:pPr>
              <w:pStyle w:val="Compact"/>
              <w:jc w:val="left"/>
            </w:pPr>
            <w:r>
              <w:t xml:space="preserve">0.030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0.030</w:t>
            </w:r>
          </w:p>
        </w:tc>
      </w:tr>
      <w:tr>
        <w:tc>
          <w:tcPr>
            <w:gridSpan w:val="4"/>
          </w:tcPr>
          <w:p>
            <w:pPr>
              <w:pStyle w:val="Compact"/>
              <w:jc w:val="left"/>
            </w:pPr>
            <w:r>
              <w:t xml:space="preserve">Total Material Weight / Total Carbon Footprint (Materials)</w:t>
            </w:r>
          </w:p>
        </w:tc>
        <w:tc>
          <w:tcPr/>
          <w:p>
            <w:pPr>
              <w:pStyle w:val="Compact"/>
              <w:jc w:val="left"/>
            </w:pPr>
            <w:r>
              <w:t xml:space="preserve">0.500</w:t>
            </w:r>
          </w:p>
        </w:tc>
        <w:tc>
          <w:tcPr/>
          <w:p>
            <w:pPr>
              <w:pStyle w:val="Compact"/>
              <w:jc w:val="left"/>
            </w:pPr>
            <w:r>
              <w:t xml:space="preserve">kg</w:t>
            </w:r>
          </w:p>
        </w:tc>
        <w:tc>
          <w:tcPr/>
          <w:p>
            <w:pPr>
              <w:pStyle w:val="Compact"/>
              <w:jc w:val="left"/>
            </w:pPr>
            <w:r>
              <w:t xml:space="preserve">-</w:t>
            </w:r>
          </w:p>
        </w:tc>
        <w:tc>
          <w:tcPr/>
          <w:p>
            <w:pPr>
              <w:pStyle w:val="Compact"/>
              <w:jc w:val="left"/>
            </w:pPr>
            <w:r>
              <w:t xml:space="preserve">6.055</w:t>
            </w:r>
          </w:p>
        </w:tc>
      </w:tr>
    </w:tbl>
    <w:p>
      <w:pPr>
        <w:pStyle w:val="BodyText"/>
      </w:pPr>
      <w:r>
        <w:rPr>
          <w:iCs/>
          <w:i/>
        </w:rPr>
        <w:t xml:space="preserve">Emission factors are illustrative estimates based on typical industry data.</w:t>
      </w:r>
    </w:p>
    <w:bookmarkEnd w:id="28"/>
    <w:bookmarkStart w:id="29" w:name="manufacturing-scope-1-2"/>
    <w:p>
      <w:pPr>
        <w:pStyle w:val="Heading4"/>
      </w:pPr>
      <w:r>
        <w:t xml:space="preserve">Manufacturing (Scope 1 &amp; 2)</w:t>
      </w:r>
    </w:p>
    <w:p>
      <w:pPr>
        <w:pStyle w:val="FirstParagraph"/>
      </w:pPr>
      <w:r>
        <w:t xml:space="preserve">The manufacturing process for "mrxonrtfgo" takes place in China. Energy consumption is a significant contributor here.</w:t>
      </w:r>
    </w:p>
    <w:p>
      <w:pPr>
        <w:numPr>
          <w:ilvl w:val="0"/>
          <w:numId w:val="1004"/>
        </w:numPr>
        <w:pStyle w:val="Compact"/>
      </w:pPr>
      <w:r>
        <w:rPr>
          <w:bCs/>
          <w:b/>
        </w:rPr>
        <w:t xml:space="preserve">Energy Intensity (`xpguudgiyl`):</w:t>
      </w:r>
      <w:r>
        <w:t xml:space="preserve"> </w:t>
      </w:r>
      <w:r>
        <w:t xml:space="preserve">5 kWh per unit.</w:t>
      </w:r>
    </w:p>
    <w:p>
      <w:pPr>
        <w:numPr>
          <w:ilvl w:val="0"/>
          <w:numId w:val="1004"/>
        </w:numPr>
        <w:pStyle w:val="Compact"/>
      </w:pPr>
      <w:r>
        <w:rPr>
          <w:bCs/>
          <w:b/>
        </w:rPr>
        <w:t xml:space="preserve">Renewable Energy Usage (`vmpqejsqep`):</w:t>
      </w:r>
      <w:r>
        <w:t xml:space="preserve"> </w:t>
      </w:r>
      <w:r>
        <w:t xml:space="preserve">70%.</w:t>
      </w:r>
    </w:p>
    <w:p>
      <w:pPr>
        <w:numPr>
          <w:ilvl w:val="0"/>
          <w:numId w:val="1004"/>
        </w:numPr>
        <w:pStyle w:val="Compact"/>
      </w:pPr>
      <w:r>
        <w:rPr>
          <w:bCs/>
          <w:b/>
        </w:rPr>
        <w:t xml:space="preserve">Non-Renewable Energy:</w:t>
      </w:r>
      <w:r>
        <w:t xml:space="preserve"> </w:t>
      </w:r>
      <w:r>
        <w:t xml:space="preserve">30% of 5 kWh = 1.5 kWh.</w:t>
      </w:r>
    </w:p>
    <w:p>
      <w:pPr>
        <w:numPr>
          <w:ilvl w:val="0"/>
          <w:numId w:val="1004"/>
        </w:numPr>
        <w:pStyle w:val="Compact"/>
      </w:pPr>
      <w:r>
        <w:rPr>
          <w:bCs/>
          <w:b/>
        </w:rPr>
        <w:t xml:space="preserve">Renewable Energy:</w:t>
      </w:r>
      <w:r>
        <w:t xml:space="preserve"> </w:t>
      </w:r>
      <w:r>
        <w:t xml:space="preserve">70% of 5 kWh = 3.5 kWh.</w:t>
      </w:r>
    </w:p>
    <w:p>
      <w:pPr>
        <w:numPr>
          <w:ilvl w:val="0"/>
          <w:numId w:val="1004"/>
        </w:numPr>
        <w:pStyle w:val="Compact"/>
      </w:pPr>
      <w:r>
        <w:rPr>
          <w:bCs/>
          <w:b/>
        </w:rPr>
        <w:t xml:space="preserve">China Grid Emission Factor (2026 estimate for non-renewable portion):</w:t>
      </w:r>
      <w:r>
        <w:t xml:space="preserve"> </w:t>
      </w:r>
      <w:r>
        <w:t xml:space="preserve">0.6 kg CO2e/kWh.</w:t>
      </w:r>
    </w:p>
    <w:p>
      <w:pPr>
        <w:numPr>
          <w:ilvl w:val="0"/>
          <w:numId w:val="1004"/>
        </w:numPr>
        <w:pStyle w:val="Compact"/>
      </w:pPr>
      <w:r>
        <w:rPr>
          <w:bCs/>
          <w:b/>
        </w:rPr>
        <w:t xml:space="preserve">Renewable Energy Emission Factor (e.g., wind/solar):</w:t>
      </w:r>
      <w:r>
        <w:t xml:space="preserve"> </w:t>
      </w:r>
      <w:r>
        <w:t xml:space="preserve">0.01 kg CO2e/kWh.</w:t>
      </w:r>
    </w:p>
    <w:p>
      <w:pPr>
        <w:numPr>
          <w:ilvl w:val="0"/>
          <w:numId w:val="1004"/>
        </w:numPr>
        <w:pStyle w:val="Compact"/>
      </w:pPr>
      <w:r>
        <w:rPr>
          <w:bCs/>
          <w:b/>
        </w:rPr>
        <w:t xml:space="preserve">Scope 2 Emissions (Non-Renewable):</w:t>
      </w:r>
      <w:r>
        <w:t xml:space="preserve"> </w:t>
      </w:r>
      <w:r>
        <w:t xml:space="preserve">1.5 kWh * 0.6 kg CO2e/kWh = 0.900 kg CO2e.</w:t>
      </w:r>
    </w:p>
    <w:p>
      <w:pPr>
        <w:numPr>
          <w:ilvl w:val="0"/>
          <w:numId w:val="1004"/>
        </w:numPr>
        <w:pStyle w:val="Compact"/>
      </w:pPr>
      <w:r>
        <w:rPr>
          <w:bCs/>
          <w:b/>
        </w:rPr>
        <w:t xml:space="preserve">Scope 2 Emissions (Renewable):</w:t>
      </w:r>
      <w:r>
        <w:t xml:space="preserve"> </w:t>
      </w:r>
      <w:r>
        <w:t xml:space="preserve">3.5 kWh * 0.01 kg CO2e/kWh = 0.035 kg CO2e.</w:t>
      </w:r>
    </w:p>
    <w:p>
      <w:pPr>
        <w:numPr>
          <w:ilvl w:val="0"/>
          <w:numId w:val="1004"/>
        </w:numPr>
        <w:pStyle w:val="Compact"/>
      </w:pPr>
      <w:r>
        <w:rPr>
          <w:bCs/>
          <w:b/>
        </w:rPr>
        <w:t xml:space="preserve">Total Manufacturing Energy Emissions (Scope 2):</w:t>
      </w:r>
      <w:r>
        <w:t xml:space="preserve"> </w:t>
      </w:r>
      <w:r>
        <w:t xml:space="preserve">0.935 kg CO2e.</w:t>
      </w:r>
    </w:p>
    <w:p>
      <w:pPr>
        <w:pStyle w:val="FirstParagraph"/>
      </w:pPr>
      <w:r>
        <w:rPr>
          <w:iCs/>
          <w:i/>
        </w:rPr>
        <w:t xml:space="preserve">No direct Scope 1 emissions (e.g., on-site fuel combustion) are assumed for this product\'s manufacturing process given the focus on electricity as the primary energy input.</w:t>
      </w:r>
    </w:p>
    <w:bookmarkEnd w:id="29"/>
    <w:bookmarkStart w:id="30" w:name="Xc78fa9e95fdc5a4841e5055035e97eb6a5c3c11"/>
    <w:p>
      <w:pPr>
        <w:pStyle w:val="Heading4"/>
      </w:pPr>
      <w:r>
        <w:t xml:space="preserve">Transport &amp; Distribution (Scope 3 - Upstream &amp; Downstream)</w:t>
      </w:r>
    </w:p>
    <w:p>
      <w:pPr>
        <w:pStyle w:val="FirstParagraph"/>
      </w:pPr>
      <w:r>
        <w:t xml:space="preserve">Transportation impacts cover inbound logistics of materials to the factory (upstream) and outbound distribution of the finished product to the customer (downstream).</w:t>
      </w:r>
    </w:p>
    <w:p>
      <w:pPr>
        <w:numPr>
          <w:ilvl w:val="0"/>
          <w:numId w:val="1005"/>
        </w:numPr>
        <w:pStyle w:val="Compact"/>
      </w:pPr>
      <w:r>
        <w:rPr>
          <w:bCs/>
          <w:b/>
        </w:rPr>
        <w:t xml:space="preserve">Product Weight:</w:t>
      </w:r>
      <w:r>
        <w:t xml:space="preserve"> </w:t>
      </w:r>
      <w:r>
        <w:t xml:space="preserve">0.5 kg (0.0005 tonnes).</w:t>
      </w:r>
    </w:p>
    <w:p>
      <w:pPr>
        <w:numPr>
          <w:ilvl w:val="0"/>
          <w:numId w:val="1005"/>
        </w:numPr>
        <w:pStyle w:val="Compact"/>
      </w:pPr>
      <w:r>
        <w:rPr>
          <w:bCs/>
          <w:b/>
        </w:rPr>
        <w:t xml:space="preserve">Upstream Transport (Components to China Factory):</w:t>
      </w:r>
    </w:p>
    <w:p>
      <w:pPr>
        <w:numPr>
          <w:ilvl w:val="1"/>
          <w:numId w:val="1006"/>
        </w:numPr>
        <w:pStyle w:val="Compact"/>
      </w:pPr>
      <w:r>
        <w:rPr>
          <w:bCs/>
          <w:b/>
        </w:rPr>
        <w:t xml:space="preserve">Mode:</w:t>
      </w:r>
      <w:r>
        <w:t xml:space="preserve"> </w:t>
      </w:r>
      <w:r>
        <w:t xml:space="preserve">Ocean Freight (Asia regional) + Truck.</w:t>
      </w:r>
    </w:p>
    <w:p>
      <w:pPr>
        <w:numPr>
          <w:ilvl w:val="1"/>
          <w:numId w:val="1006"/>
        </w:numPr>
        <w:pStyle w:val="Compact"/>
      </w:pPr>
      <w:r>
        <w:rPr>
          <w:bCs/>
          <w:b/>
        </w:rPr>
        <w:t xml:space="preserve">Distance (illustrative):</w:t>
      </w:r>
      <w:r>
        <w:t xml:space="preserve"> </w:t>
      </w:r>
      <w:r>
        <w:t xml:space="preserve">2,000 km (Ocean) + 200 km (Truck).</w:t>
      </w:r>
    </w:p>
    <w:p>
      <w:pPr>
        <w:numPr>
          <w:ilvl w:val="1"/>
          <w:numId w:val="1006"/>
        </w:numPr>
        <w:pStyle w:val="Compact"/>
      </w:pPr>
      <w:r>
        <w:rPr>
          <w:bCs/>
          <w:b/>
        </w:rPr>
        <w:t xml:space="preserve">Ocean Freight EF:</w:t>
      </w:r>
      <w:r>
        <w:t xml:space="preserve"> </w:t>
      </w:r>
      <w:r>
        <w:t xml:space="preserve">0.016 kg CO2e/tkm.</w:t>
      </w:r>
    </w:p>
    <w:p>
      <w:pPr>
        <w:numPr>
          <w:ilvl w:val="1"/>
          <w:numId w:val="1006"/>
        </w:numPr>
        <w:pStyle w:val="Compact"/>
      </w:pPr>
      <w:r>
        <w:rPr>
          <w:bCs/>
          <w:b/>
        </w:rPr>
        <w:t xml:space="preserve">Truck Freight EF:</w:t>
      </w:r>
      <w:r>
        <w:t xml:space="preserve"> </w:t>
      </w:r>
      <w:r>
        <w:t xml:space="preserve">0.070 kg CO2e/tkm.</w:t>
      </w:r>
    </w:p>
    <w:p>
      <w:pPr>
        <w:numPr>
          <w:ilvl w:val="1"/>
          <w:numId w:val="1006"/>
        </w:numPr>
        <w:pStyle w:val="Compact"/>
      </w:pPr>
      <w:r>
        <w:rPr>
          <w:bCs/>
          <w:b/>
        </w:rPr>
        <w:t xml:space="preserve">Emissions (Ocean):</w:t>
      </w:r>
      <w:r>
        <w:t xml:space="preserve"> </w:t>
      </w:r>
      <w:r>
        <w:t xml:space="preserve">0.0005 t * 2,000 km * 0.016 kg CO2e/tkm = 0.016 kg CO2e.</w:t>
      </w:r>
    </w:p>
    <w:p>
      <w:pPr>
        <w:numPr>
          <w:ilvl w:val="1"/>
          <w:numId w:val="1006"/>
        </w:numPr>
        <w:pStyle w:val="Compact"/>
      </w:pPr>
      <w:r>
        <w:rPr>
          <w:bCs/>
          <w:b/>
        </w:rPr>
        <w:t xml:space="preserve">Emissions (Truck):</w:t>
      </w:r>
      <w:r>
        <w:t xml:space="preserve"> </w:t>
      </w:r>
      <w:r>
        <w:t xml:space="preserve">0.0005 t * 200 km * 0.070 kg CO2e/tkm = 0.007 kg CO2e.</w:t>
      </w:r>
    </w:p>
    <w:p>
      <w:pPr>
        <w:numPr>
          <w:ilvl w:val="1"/>
          <w:numId w:val="1006"/>
        </w:numPr>
        <w:pStyle w:val="Compact"/>
      </w:pPr>
      <w:r>
        <w:rPr>
          <w:bCs/>
          <w:b/>
        </w:rPr>
        <w:t xml:space="preserve">Total Upstream Transport:</w:t>
      </w:r>
      <w:r>
        <w:t xml:space="preserve"> </w:t>
      </w:r>
      <w:r>
        <w:t xml:space="preserve">0.023 kg CO2e.</w:t>
      </w:r>
    </w:p>
    <w:p>
      <w:pPr>
        <w:numPr>
          <w:ilvl w:val="0"/>
          <w:numId w:val="1005"/>
        </w:numPr>
        <w:pStyle w:val="Compact"/>
      </w:pPr>
      <w:r>
        <w:rPr>
          <w:bCs/>
          <w:b/>
        </w:rPr>
        <w:t xml:space="preserve">Downstream Transport (Product from China Factory to EU Customer - `uihtrpkrhq`):</w:t>
      </w:r>
    </w:p>
    <w:p>
      <w:pPr>
        <w:numPr>
          <w:ilvl w:val="1"/>
          <w:numId w:val="1007"/>
        </w:numPr>
        <w:pStyle w:val="Compact"/>
      </w:pPr>
      <w:r>
        <w:rPr>
          <w:bCs/>
          <w:b/>
        </w:rPr>
        <w:t xml:space="preserve">Transport Mode (`Select Mode`):</w:t>
      </w:r>
      <w:r>
        <w:t xml:space="preserve"> </w:t>
      </w:r>
      <w:r>
        <w:t xml:space="preserve">Ocean Freight (China to Europe) + Long-haul Truck (EU Port to Distribution Center).</w:t>
      </w:r>
    </w:p>
    <w:p>
      <w:pPr>
        <w:numPr>
          <w:ilvl w:val="1"/>
          <w:numId w:val="1007"/>
        </w:numPr>
        <w:pStyle w:val="Compact"/>
      </w:pPr>
      <w:r>
        <w:rPr>
          <w:bCs/>
          <w:b/>
        </w:rPr>
        <w:t xml:space="preserve">Transport Distance (`uihtrpkrhq`):</w:t>
      </w:r>
      <w:r>
        <w:t xml:space="preserve"> </w:t>
      </w:r>
      <w:r>
        <w:t xml:space="preserve">19,000 km (Ocean) + 1,000 km (Truck).</w:t>
      </w:r>
    </w:p>
    <w:p>
      <w:pPr>
        <w:numPr>
          <w:ilvl w:val="1"/>
          <w:numId w:val="1007"/>
        </w:numPr>
        <w:pStyle w:val="Compact"/>
      </w:pPr>
      <w:r>
        <w:rPr>
          <w:bCs/>
          <w:b/>
        </w:rPr>
        <w:t xml:space="preserve">Ocean Freight EF:</w:t>
      </w:r>
      <w:r>
        <w:t xml:space="preserve"> </w:t>
      </w:r>
      <w:r>
        <w:t xml:space="preserve">0.016 kg CO2e/tkm.</w:t>
      </w:r>
    </w:p>
    <w:p>
      <w:pPr>
        <w:numPr>
          <w:ilvl w:val="1"/>
          <w:numId w:val="1007"/>
        </w:numPr>
        <w:pStyle w:val="Compact"/>
      </w:pPr>
      <w:r>
        <w:rPr>
          <w:bCs/>
          <w:b/>
        </w:rPr>
        <w:t xml:space="preserve">Long-haul Truck EF:</w:t>
      </w:r>
      <w:r>
        <w:t xml:space="preserve"> </w:t>
      </w:r>
      <w:r>
        <w:t xml:space="preserve">0.070 kg CO2e/tkm.</w:t>
      </w:r>
    </w:p>
    <w:p>
      <w:pPr>
        <w:numPr>
          <w:ilvl w:val="1"/>
          <w:numId w:val="1007"/>
        </w:numPr>
        <w:pStyle w:val="Compact"/>
      </w:pPr>
      <w:r>
        <w:rPr>
          <w:bCs/>
          <w:b/>
        </w:rPr>
        <w:t xml:space="preserve">Emissions (Ocean):</w:t>
      </w:r>
      <w:r>
        <w:t xml:space="preserve"> </w:t>
      </w:r>
      <w:r>
        <w:t xml:space="preserve">0.0005 t * 19,000 km * 0.016 kg CO2e/tkm = 0.152 kg CO2e.</w:t>
      </w:r>
    </w:p>
    <w:p>
      <w:pPr>
        <w:numPr>
          <w:ilvl w:val="1"/>
          <w:numId w:val="1007"/>
        </w:numPr>
        <w:pStyle w:val="Compact"/>
      </w:pPr>
      <w:r>
        <w:rPr>
          <w:bCs/>
          <w:b/>
        </w:rPr>
        <w:t xml:space="preserve">Emissions (Truck):</w:t>
      </w:r>
      <w:r>
        <w:t xml:space="preserve"> </w:t>
      </w:r>
      <w:r>
        <w:t xml:space="preserve">0.0005 t * 1,000 km * 0.070 kg CO2e/tkm = 0.035 kg CO2e.</w:t>
      </w:r>
    </w:p>
    <w:p>
      <w:pPr>
        <w:numPr>
          <w:ilvl w:val="1"/>
          <w:numId w:val="1007"/>
        </w:numPr>
        <w:pStyle w:val="Compact"/>
      </w:pPr>
      <w:r>
        <w:rPr>
          <w:bCs/>
          <w:b/>
        </w:rPr>
        <w:t xml:space="preserve">Last-Mile Delivery Channel (`Delivery Type`):</w:t>
      </w:r>
      <w:r>
        <w:t xml:space="preserve"> </w:t>
      </w:r>
      <w:r>
        <w:t xml:space="preserve">Local Courier Van.</w:t>
      </w:r>
    </w:p>
    <w:p>
      <w:pPr>
        <w:numPr>
          <w:ilvl w:val="1"/>
          <w:numId w:val="1007"/>
        </w:numPr>
        <w:pStyle w:val="Compact"/>
      </w:pPr>
      <w:r>
        <w:rPr>
          <w:bCs/>
          <w:b/>
        </w:rPr>
        <w:t xml:space="preserve">Last-Mile Delivery Distance (illustrative):</w:t>
      </w:r>
      <w:r>
        <w:t xml:space="preserve"> </w:t>
      </w:r>
      <w:r>
        <w:t xml:space="preserve">50 km.</w:t>
      </w:r>
    </w:p>
    <w:p>
      <w:pPr>
        <w:numPr>
          <w:ilvl w:val="1"/>
          <w:numId w:val="1007"/>
        </w:numPr>
        <w:pStyle w:val="Compact"/>
      </w:pPr>
      <w:r>
        <w:rPr>
          <w:bCs/>
          <w:b/>
        </w:rPr>
        <w:t xml:space="preserve">Van Emission Factor:</w:t>
      </w:r>
      <w:r>
        <w:t xml:space="preserve"> </w:t>
      </w:r>
      <w:r>
        <w:t xml:space="preserve">0.249 kg CO2e/km (per vehicle-km).</w:t>
      </w:r>
    </w:p>
    <w:p>
      <w:pPr>
        <w:numPr>
          <w:ilvl w:val="1"/>
          <w:numId w:val="1007"/>
        </w:numPr>
        <w:pStyle w:val="Compact"/>
      </w:pPr>
      <w:r>
        <w:rPr>
          <w:bCs/>
          <w:b/>
        </w:rPr>
        <w:t xml:space="preserve">Assumed Load Factor:</w:t>
      </w:r>
      <w:r>
        <w:t xml:space="preserve"> </w:t>
      </w:r>
      <w:r>
        <w:t xml:space="preserve">1,000 units per van for this leg (assuming dense urban delivery, parcel weight 0.5 kg/unit).</w:t>
      </w:r>
    </w:p>
    <w:p>
      <w:pPr>
        <w:numPr>
          <w:ilvl w:val="1"/>
          <w:numId w:val="1007"/>
        </w:numPr>
        <w:pStyle w:val="Compact"/>
      </w:pPr>
      <w:r>
        <w:rPr>
          <w:bCs/>
          <w:b/>
        </w:rPr>
        <w:t xml:space="preserve">Emissions (Last-Mile):</w:t>
      </w:r>
      <w:r>
        <w:t xml:space="preserve"> </w:t>
      </w:r>
      <w:r>
        <w:t xml:space="preserve">(0.249 kg CO2e/km * 50 km) / 1,000 units = 0.0125 kg CO2e/unit.</w:t>
      </w:r>
    </w:p>
    <w:p>
      <w:pPr>
        <w:numPr>
          <w:ilvl w:val="1"/>
          <w:numId w:val="1007"/>
        </w:numPr>
        <w:pStyle w:val="Compact"/>
      </w:pPr>
      <w:r>
        <w:rPr>
          <w:bCs/>
          <w:b/>
        </w:rPr>
        <w:t xml:space="preserve">Total Downstream Transport:</w:t>
      </w:r>
      <w:r>
        <w:t xml:space="preserve"> </w:t>
      </w:r>
      <w:r>
        <w:t xml:space="preserve">0.152 + 0.035 + 0.0125 = 0.1995 kg CO2e.</w:t>
      </w:r>
    </w:p>
    <w:p>
      <w:pPr>
        <w:numPr>
          <w:ilvl w:val="0"/>
          <w:numId w:val="1005"/>
        </w:numPr>
        <w:pStyle w:val="Compact"/>
      </w:pPr>
      <w:r>
        <w:rPr>
          <w:bCs/>
          <w:b/>
        </w:rPr>
        <w:t xml:space="preserve">Overall Transport Emissions (Scope 3):</w:t>
      </w:r>
      <w:r>
        <w:t xml:space="preserve"> </w:t>
      </w:r>
      <w:r>
        <w:t xml:space="preserve">0.023 + 0.1995 = 0.2225 kg CO2e.</w:t>
      </w:r>
    </w:p>
    <w:bookmarkEnd w:id="30"/>
    <w:bookmarkStart w:id="31" w:name="use-phase-scope-3---downstream"/>
    <w:p>
      <w:pPr>
        <w:pStyle w:val="Heading4"/>
      </w:pPr>
      <w:r>
        <w:t xml:space="preserve">Use Phase (Scope 3 - Downstream)</w:t>
      </w:r>
    </w:p>
    <w:p>
      <w:pPr>
        <w:pStyle w:val="FirstParagraph"/>
      </w:pPr>
      <w:r>
        <w:t xml:space="preserve">The energy consumption during the product\'s lifespan contributes to its overall footprint.</w:t>
      </w:r>
    </w:p>
    <w:p>
      <w:pPr>
        <w:numPr>
          <w:ilvl w:val="0"/>
          <w:numId w:val="1008"/>
        </w:numPr>
        <w:pStyle w:val="Compact"/>
      </w:pPr>
      <w:r>
        <w:rPr>
          <w:bCs/>
          <w:b/>
        </w:rPr>
        <w:t xml:space="preserve">Product Lifespan (`nwrnvfduyi`):</w:t>
      </w:r>
      <w:r>
        <w:t xml:space="preserve"> </w:t>
      </w:r>
      <w:r>
        <w:t xml:space="preserve">3 years.</w:t>
      </w:r>
    </w:p>
    <w:p>
      <w:pPr>
        <w:numPr>
          <w:ilvl w:val="0"/>
          <w:numId w:val="1008"/>
        </w:numPr>
        <w:pStyle w:val="Compact"/>
      </w:pPr>
      <w:r>
        <w:rPr>
          <w:bCs/>
          <w:b/>
        </w:rPr>
        <w:t xml:space="preserve">Energy Consumption in Use (`ozqrlhyesv`):</w:t>
      </w:r>
      <w:r>
        <w:t xml:space="preserve"> </w:t>
      </w:r>
      <w:r>
        <w:t xml:space="preserve">0.01 kWh/hour.</w:t>
      </w:r>
    </w:p>
    <w:p>
      <w:pPr>
        <w:numPr>
          <w:ilvl w:val="0"/>
          <w:numId w:val="1008"/>
        </w:numPr>
        <w:pStyle w:val="Compact"/>
      </w:pPr>
      <w:r>
        <w:rPr>
          <w:bCs/>
          <w:b/>
        </w:rPr>
        <w:t xml:space="preserve">Total Operating Hours (illustrative):</w:t>
      </w:r>
      <w:r>
        <w:t xml:space="preserve"> </w:t>
      </w:r>
      <w:r>
        <w:t xml:space="preserve">24 hours/day * 365 days/year * 3 years = 26,280 hours.</w:t>
      </w:r>
    </w:p>
    <w:p>
      <w:pPr>
        <w:numPr>
          <w:ilvl w:val="0"/>
          <w:numId w:val="1008"/>
        </w:numPr>
        <w:pStyle w:val="Compact"/>
      </w:pPr>
      <w:r>
        <w:rPr>
          <w:bCs/>
          <w:b/>
        </w:rPr>
        <w:t xml:space="preserve">Total Energy Consumption in Use:</w:t>
      </w:r>
      <w:r>
        <w:t xml:space="preserve"> </w:t>
      </w:r>
      <w:r>
        <w:t xml:space="preserve">0.01 kWh/hour * 26,280 hours = 262.8 kWh.</w:t>
      </w:r>
    </w:p>
    <w:p>
      <w:pPr>
        <w:numPr>
          <w:ilvl w:val="0"/>
          <w:numId w:val="1008"/>
        </w:numPr>
        <w:pStyle w:val="Compact"/>
      </w:pPr>
      <w:r>
        <w:rPr>
          <w:bCs/>
          <w:b/>
        </w:rPr>
        <w:t xml:space="preserve">Assumed Use Location:</w:t>
      </w:r>
      <w:r>
        <w:t xml:space="preserve"> </w:t>
      </w:r>
      <w:r>
        <w:t xml:space="preserve">Europe (reflecting \'Supply Chain Focus: Europe Focused\').</w:t>
      </w:r>
    </w:p>
    <w:p>
      <w:pPr>
        <w:numPr>
          <w:ilvl w:val="0"/>
          <w:numId w:val="1008"/>
        </w:numPr>
        <w:pStyle w:val="Compact"/>
      </w:pPr>
      <w:r>
        <w:rPr>
          <w:bCs/>
          <w:b/>
        </w:rPr>
        <w:t xml:space="preserve">Average EU Grid Emission Factor (2026 estimate):</w:t>
      </w:r>
      <w:r>
        <w:t xml:space="preserve"> </w:t>
      </w:r>
      <w:r>
        <w:t xml:space="preserve">0.15 kg CO2e/kWh.</w:t>
      </w:r>
    </w:p>
    <w:p>
      <w:pPr>
        <w:numPr>
          <w:ilvl w:val="0"/>
          <w:numId w:val="1008"/>
        </w:numPr>
        <w:pStyle w:val="Compact"/>
      </w:pPr>
      <w:r>
        <w:rPr>
          <w:bCs/>
          <w:b/>
        </w:rPr>
        <w:t xml:space="preserve">Use Phase Emissions (Scope 3):</w:t>
      </w:r>
      <w:r>
        <w:t xml:space="preserve"> </w:t>
      </w:r>
      <w:r>
        <w:t xml:space="preserve">262.8 kWh * 0.15 kg CO2e/kWh = 39.420 kg CO2e.</w:t>
      </w:r>
    </w:p>
    <w:bookmarkEnd w:id="31"/>
    <w:bookmarkStart w:id="32" w:name="end-of-life-eol-scope-3---downstream"/>
    <w:p>
      <w:pPr>
        <w:pStyle w:val="Heading4"/>
      </w:pPr>
      <w:r>
        <w:t xml:space="preserve">End-of-Life (EoL) (Scope 3 - Downstream)</w:t>
      </w:r>
    </w:p>
    <w:p>
      <w:pPr>
        <w:pStyle w:val="FirstParagraph"/>
      </w:pPr>
      <w:r>
        <w:t xml:space="preserve">The end-of-life scenario accounts for both disposal emissions and avoided emissions through recycling.</w:t>
      </w:r>
    </w:p>
    <w:p>
      <w:pPr>
        <w:numPr>
          <w:ilvl w:val="0"/>
          <w:numId w:val="1009"/>
        </w:numPr>
        <w:pStyle w:val="Compact"/>
      </w:pPr>
      <w:r>
        <w:rPr>
          <w:bCs/>
          <w:b/>
        </w:rPr>
        <w:t xml:space="preserve">Recyclability Percentage (`nrjkhrssjf`):</w:t>
      </w:r>
      <w:r>
        <w:t xml:space="preserve"> </w:t>
      </w:r>
      <w:r>
        <w:t xml:space="preserve">80%.</w:t>
      </w:r>
    </w:p>
    <w:p>
      <w:pPr>
        <w:numPr>
          <w:ilvl w:val="0"/>
          <w:numId w:val="1009"/>
        </w:numPr>
        <w:pStyle w:val="Compact"/>
      </w:pPr>
      <w:r>
        <w:rPr>
          <w:bCs/>
          <w:b/>
        </w:rPr>
        <w:t xml:space="preserve">Circular/Take-back Programs (`gwxvixwhqx`):</w:t>
      </w:r>
      <w:r>
        <w:t xml:space="preserve"> </w:t>
      </w:r>
      <w:r>
        <w:t xml:space="preserve">EU-wide Product Take-back Program.</w:t>
      </w:r>
    </w:p>
    <w:p>
      <w:pPr>
        <w:numPr>
          <w:ilvl w:val="0"/>
          <w:numId w:val="1009"/>
        </w:numPr>
        <w:pStyle w:val="Compact"/>
      </w:pPr>
      <w:r>
        <w:rPr>
          <w:bCs/>
          <w:b/>
        </w:rPr>
        <w:t xml:space="preserve">Total Product Weight:</w:t>
      </w:r>
      <w:r>
        <w:t xml:space="preserve"> </w:t>
      </w:r>
      <w:r>
        <w:t xml:space="preserve">0.5 kg.</w:t>
      </w:r>
    </w:p>
    <w:p>
      <w:pPr>
        <w:numPr>
          <w:ilvl w:val="0"/>
          <w:numId w:val="1009"/>
        </w:numPr>
        <w:pStyle w:val="Compact"/>
      </w:pPr>
      <w:r>
        <w:rPr>
          <w:bCs/>
          <w:b/>
        </w:rPr>
        <w:t xml:space="preserve">Recycled Portion:</w:t>
      </w:r>
      <w:r>
        <w:t xml:space="preserve"> </w:t>
      </w:r>
      <w:r>
        <w:t xml:space="preserve">0.5 kg * 80% = 0.4 kg.</w:t>
      </w:r>
    </w:p>
    <w:p>
      <w:pPr>
        <w:numPr>
          <w:ilvl w:val="0"/>
          <w:numId w:val="1009"/>
        </w:numPr>
        <w:pStyle w:val="Compact"/>
      </w:pPr>
      <w:r>
        <w:rPr>
          <w:bCs/>
          <w:b/>
        </w:rPr>
        <w:t xml:space="preserve">Non-Recycled Portion (Landfill/Incineration):</w:t>
      </w:r>
      <w:r>
        <w:t xml:space="preserve"> </w:t>
      </w:r>
      <w:r>
        <w:t xml:space="preserve">0.5 kg * 20% = 0.1 kg.</w:t>
      </w:r>
    </w:p>
    <w:p>
      <w:pPr>
        <w:numPr>
          <w:ilvl w:val="0"/>
          <w:numId w:val="1009"/>
        </w:numPr>
        <w:pStyle w:val="Compact"/>
      </w:pPr>
      <w:r>
        <w:rPr>
          <w:bCs/>
          <w:b/>
        </w:rPr>
        <w:t xml:space="preserve">Avoided Emissions from Recycling (Illustrative Average):</w:t>
      </w:r>
      <w:r>
        <w:t xml:space="preserve"> </w:t>
      </w:r>
      <w:r>
        <w:t xml:space="preserve">-1.5 kg CO2e/kg (average for mixed materials, acknowledging significant savings for metals and plastics).</w:t>
      </w:r>
    </w:p>
    <w:p>
      <w:pPr>
        <w:numPr>
          <w:ilvl w:val="0"/>
          <w:numId w:val="1009"/>
        </w:numPr>
        <w:pStyle w:val="Compact"/>
      </w:pPr>
      <w:r>
        <w:rPr>
          <w:bCs/>
          <w:b/>
        </w:rPr>
        <w:t xml:space="preserve">EoL Avoided Emissions:</w:t>
      </w:r>
      <w:r>
        <w:t xml:space="preserve"> </w:t>
      </w:r>
      <w:r>
        <w:t xml:space="preserve">0.4 kg * (-1.5 kg CO2e/kg) = -0.600 kg CO2e.</w:t>
      </w:r>
    </w:p>
    <w:p>
      <w:pPr>
        <w:numPr>
          <w:ilvl w:val="0"/>
          <w:numId w:val="1009"/>
        </w:numPr>
        <w:pStyle w:val="Compact"/>
      </w:pPr>
      <w:r>
        <w:rPr>
          <w:bCs/>
          <w:b/>
        </w:rPr>
        <w:t xml:space="preserve">EoL Disposal Emissions (Non-Recycled, Illustrative):</w:t>
      </w:r>
      <w:r>
        <w:t xml:space="preserve"> </w:t>
      </w:r>
      <w:r>
        <w:t xml:space="preserve">0.1 kg CO2e/kg.</w:t>
      </w:r>
    </w:p>
    <w:p>
      <w:pPr>
        <w:numPr>
          <w:ilvl w:val="0"/>
          <w:numId w:val="1009"/>
        </w:numPr>
        <w:pStyle w:val="Compact"/>
      </w:pPr>
      <w:r>
        <w:rPr>
          <w:bCs/>
          <w:b/>
        </w:rPr>
        <w:t xml:space="preserve">EoL Disposal Emissions:</w:t>
      </w:r>
      <w:r>
        <w:t xml:space="preserve"> </w:t>
      </w:r>
      <w:r>
        <w:t xml:space="preserve">0.1 kg * 0.1 kg CO2e/kg = 0.010 kg CO2e.</w:t>
      </w:r>
    </w:p>
    <w:p>
      <w:pPr>
        <w:numPr>
          <w:ilvl w:val="0"/>
          <w:numId w:val="1009"/>
        </w:numPr>
        <w:pStyle w:val="Compact"/>
      </w:pPr>
      <w:r>
        <w:rPr>
          <w:bCs/>
          <w:b/>
        </w:rPr>
        <w:t xml:space="preserve">Total End-of-Life Emissions (Scope 3):</w:t>
      </w:r>
      <w:r>
        <w:t xml:space="preserve"> </w:t>
      </w:r>
      <w:r>
        <w:t xml:space="preserve">-0.600 + 0.010 = -0.590 kg CO2e (net negative indicates savings).</w:t>
      </w:r>
    </w:p>
    <w:bookmarkEnd w:id="32"/>
    <w:bookmarkEnd w:id="33"/>
    <w:bookmarkStart w:id="34" w:name="emission-calculation-summary"/>
    <w:p>
      <w:pPr>
        <w:pStyle w:val="Heading3"/>
      </w:pPr>
      <w:r>
        <w:t xml:space="preserve">4. Emission Calculation Summary</w:t>
      </w:r>
    </w:p>
    <w:p>
      <w:pPr>
        <w:pStyle w:val="FirstParagraph"/>
      </w:pPr>
      <w:r>
        <w:t xml:space="preserve">A consolidated view of the Product Carbon Footprint for "mrxonrtfgo" across its lifecycle stages and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6.055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0.935</w:t>
            </w:r>
          </w:p>
        </w:tc>
      </w:tr>
      <w:tr>
        <w:tc>
          <w:tcPr/>
          <w:p>
            <w:pPr>
              <w:pStyle w:val="Compact"/>
              <w:jc w:val="left"/>
            </w:pPr>
            <w:r>
              <w:t xml:space="preserve">Upstream Transport (Materials to Factory)</w:t>
            </w:r>
          </w:p>
        </w:tc>
        <w:tc>
          <w:tcPr/>
          <w:p>
            <w:pPr>
              <w:pStyle w:val="Compact"/>
              <w:jc w:val="left"/>
            </w:pPr>
            <w:r>
              <w:t xml:space="preserve">Scope 3 (Upstream)</w:t>
            </w:r>
          </w:p>
        </w:tc>
        <w:tc>
          <w:tcPr/>
          <w:p>
            <w:pPr>
              <w:pStyle w:val="Compact"/>
              <w:jc w:val="left"/>
            </w:pPr>
            <w:r>
              <w:t xml:space="preserve">0.023</w:t>
            </w:r>
          </w:p>
        </w:tc>
      </w:tr>
      <w:tr>
        <w:tc>
          <w:tcPr/>
          <w:p>
            <w:pPr>
              <w:pStyle w:val="Compact"/>
              <w:jc w:val="left"/>
            </w:pPr>
            <w:r>
              <w:t xml:space="preserve">Downstream Transport (Factory to Customer)</w:t>
            </w:r>
          </w:p>
        </w:tc>
        <w:tc>
          <w:tcPr/>
          <w:p>
            <w:pPr>
              <w:pStyle w:val="Compact"/>
              <w:jc w:val="left"/>
            </w:pPr>
            <w:r>
              <w:t xml:space="preserve">Scope 3 (Downstream)</w:t>
            </w:r>
          </w:p>
        </w:tc>
        <w:tc>
          <w:tcPr/>
          <w:p>
            <w:pPr>
              <w:pStyle w:val="Compact"/>
              <w:jc w:val="left"/>
            </w:pPr>
            <w:r>
              <w:t xml:space="preserve">0.1995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39.420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-0.590</w:t>
            </w:r>
          </w:p>
        </w:tc>
      </w:tr>
      <w:tr>
        <w:tc>
          <w:tcPr>
            <w:gridSpan w:val="2"/>
          </w:tcPr>
          <w:p>
            <w:pPr>
              <w:pStyle w:val="Compact"/>
              <w:jc w:val="left"/>
            </w:pPr>
            <w:r>
              <w:t xml:space="preserve">Total Product Carbon Footprint (Cradle-to-Grave)</w:t>
            </w:r>
          </w:p>
        </w:tc>
        <w:tc>
          <w:tcPr/>
          <w:p>
            <w:pPr>
              <w:pStyle w:val="Compact"/>
              <w:jc w:val="left"/>
            </w:pPr>
            <w:r>
              <w:t xml:space="preserve">46.0425</w:t>
            </w:r>
          </w:p>
        </w:tc>
      </w:tr>
    </w:tbl>
    <w:p>
      <w:pPr>
        <w:pStyle w:val="BodyText"/>
      </w:pPr>
      <w:r>
        <w:t xml:space="preserve">The total Product Carbon Footprint for one unit of "mrxonrtfgo" is approximately</w:t>
      </w:r>
      <w:r>
        <w:t xml:space="preserve"> </w:t>
      </w:r>
      <w:r>
        <w:rPr>
          <w:bCs/>
          <w:b/>
        </w:rPr>
        <w:t xml:space="preserve">46.04 kg CO2e</w:t>
      </w:r>
      <w:r>
        <w:t xml:space="preserve">.</w:t>
      </w:r>
    </w:p>
    <w:bookmarkEnd w:id="34"/>
    <w:bookmarkStart w:id="35" w:name="ghg-scope-summary"/>
    <w:p>
      <w:pPr>
        <w:pStyle w:val="Heading3"/>
      </w:pPr>
      <w:r>
        <w:t xml:space="preserve">GHG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from operations)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 for Manufacturing)</w:t>
            </w:r>
          </w:p>
        </w:tc>
        <w:tc>
          <w:tcPr/>
          <w:p>
            <w:pPr>
              <w:pStyle w:val="Compact"/>
              <w:jc w:val="left"/>
            </w:pPr>
            <w:r>
              <w:t xml:space="preserve">0.935</w:t>
            </w:r>
          </w:p>
        </w:tc>
        <w:tc>
          <w:tcPr/>
          <w:p>
            <w:pPr>
              <w:pStyle w:val="Compact"/>
              <w:jc w:val="left"/>
            </w:pPr>
            <w:r>
              <w:t xml:space="preserve">2.03%</w:t>
            </w:r>
          </w:p>
        </w:tc>
      </w:tr>
      <w:tr>
        <w:tc>
          <w:tcPr/>
          <w:p>
            <w:pPr>
              <w:pStyle w:val="Compact"/>
              <w:jc w:val="left"/>
            </w:pPr>
            <w:r>
              <w:t xml:space="preserve">Scope 3 (Value Chain - Upstream)</w:t>
            </w:r>
          </w:p>
        </w:tc>
        <w:tc>
          <w:tcPr/>
          <w:p>
            <w:pPr>
              <w:pStyle w:val="Compact"/>
              <w:jc w:val="left"/>
            </w:pPr>
            <w:r>
              <w:t xml:space="preserve">6.055 (Materials) + 0.023 (Upstream Transport) = 6.078</w:t>
            </w:r>
          </w:p>
        </w:tc>
        <w:tc>
          <w:tcPr/>
          <w:p>
            <w:pPr>
              <w:pStyle w:val="Compact"/>
              <w:jc w:val="left"/>
            </w:pPr>
            <w:r>
              <w:t xml:space="preserve">13.20%</w:t>
            </w:r>
          </w:p>
        </w:tc>
      </w:tr>
      <w:tr>
        <w:tc>
          <w:tcPr/>
          <w:p>
            <w:pPr>
              <w:pStyle w:val="Compact"/>
              <w:jc w:val="left"/>
            </w:pPr>
            <w:r>
              <w:t xml:space="preserve">Scope 3 (Value Chain - Downstream)</w:t>
            </w:r>
          </w:p>
        </w:tc>
        <w:tc>
          <w:tcPr/>
          <w:p>
            <w:pPr>
              <w:pStyle w:val="Compact"/>
              <w:jc w:val="left"/>
            </w:pPr>
            <w:r>
              <w:t xml:space="preserve">0.1995 (Downstream Transport) + 39.420 (Use Phase) - 0.590 (EoL) = 39.0295</w:t>
            </w:r>
          </w:p>
        </w:tc>
        <w:tc>
          <w:tcPr/>
          <w:p>
            <w:pPr>
              <w:pStyle w:val="Compact"/>
              <w:jc w:val="left"/>
            </w:pPr>
            <w:r>
              <w:t xml:space="preserve">84.77%</w:t>
            </w:r>
          </w:p>
        </w:tc>
      </w:tr>
      <w:tr>
        <w:tc>
          <w:tcPr/>
          <w:p>
            <w:pPr>
              <w:pStyle w:val="Compact"/>
              <w:jc w:val="left"/>
            </w:pPr>
            <w:r>
              <w:t xml:space="preserve">Total PCF</w:t>
            </w:r>
          </w:p>
        </w:tc>
        <w:tc>
          <w:tcPr/>
          <w:p>
            <w:pPr>
              <w:pStyle w:val="Compact"/>
              <w:jc w:val="left"/>
            </w:pPr>
            <w:r>
              <w:t xml:space="preserve">46.0425</w:t>
            </w:r>
          </w:p>
        </w:tc>
        <w:tc>
          <w:tcPr/>
          <w:p>
            <w:pPr>
              <w:pStyle w:val="Compact"/>
              <w:jc w:val="left"/>
            </w:pPr>
            <w:r>
              <w:t xml:space="preserve">100.00%</w:t>
            </w:r>
          </w:p>
        </w:tc>
      </w:tr>
    </w:tbl>
    <w:p>
      <w:pPr>
        <w:pStyle w:val="BodyText"/>
      </w:pPr>
      <w:r>
        <w:rPr>
          <w:iCs/>
          <w:i/>
        </w:rPr>
        <w:t xml:space="preserve">The Scope 3 coverage is 97.97% (13.20% + 84.77%), exceeding the 95% target.</w:t>
      </w:r>
    </w:p>
    <w:bookmarkEnd w:id="35"/>
    <w:bookmarkStart w:id="38" w:name="review-report"/>
    <w:p>
      <w:pPr>
        <w:pStyle w:val="Heading3"/>
      </w:pPr>
      <w:r>
        <w:t xml:space="preserve">5. Review &amp; Report</w:t>
      </w:r>
    </w:p>
    <w:p>
      <w:pPr>
        <w:pStyle w:val="FirstParagraph"/>
      </w:pPr>
      <w:r>
        <w:t xml:space="preserve">The analysis reveals that the</w:t>
      </w:r>
      <w:r>
        <w:t xml:space="preserve"> </w:t>
      </w:r>
      <w:r>
        <w:rPr>
          <w:bCs/>
          <w:b/>
        </w:rPr>
        <w:t xml:space="preserve">Use Phase</w:t>
      </w:r>
      <w:r>
        <w:t xml:space="preserve"> </w:t>
      </w:r>
      <w:r>
        <w:t xml:space="preserve">is the predominant hotspot, contributing approximately 85% of the total product carbon footprint. This is primarily due to the ongoing energy consumption of the product over its estimated 3-year lifespan. Materials acquisition, particularly for high-impact components like integrated circuits and aluminum, represents the second largest category.</w:t>
      </w:r>
    </w:p>
    <w:bookmarkStart w:id="36" w:name="key-insights"/>
    <w:p>
      <w:pPr>
        <w:pStyle w:val="Heading4"/>
      </w:pPr>
      <w:r>
        <w:t xml:space="preserve">Key Insights:</w:t>
      </w:r>
    </w:p>
    <w:p>
      <w:pPr>
        <w:numPr>
          <w:ilvl w:val="0"/>
          <w:numId w:val="1010"/>
        </w:numPr>
        <w:pStyle w:val="Compact"/>
      </w:pPr>
      <w:r>
        <w:rPr>
          <w:bCs/>
          <w:b/>
        </w:rPr>
        <w:t xml:space="preserve">Use Phase Dominance:</w:t>
      </w:r>
      <w:r>
        <w:t xml:space="preserve"> </w:t>
      </w:r>
      <w:r>
        <w:t xml:space="preserve">The product\'s energy efficiency during its operational life is critical. Investments in lower power consumption components or mechanisms that reduce active usage time would yield significant reductions.</w:t>
      </w:r>
    </w:p>
    <w:p>
      <w:pPr>
        <w:numPr>
          <w:ilvl w:val="0"/>
          <w:numId w:val="1010"/>
        </w:numPr>
        <w:pStyle w:val="Compact"/>
      </w:pPr>
      <w:r>
        <w:rPr>
          <w:bCs/>
          <w:b/>
        </w:rPr>
        <w:t xml:space="preserve">Material Impact:</w:t>
      </w:r>
      <w:r>
        <w:t xml:space="preserve"> </w:t>
      </w:r>
      <w:r>
        <w:t xml:space="preserve">High-tech electronic components (PCBs, ICs) and primary aluminum production contribute substantially. Exploring recycled content for metals and more sustainable manufacturing processes for electronics could mitigate this.</w:t>
      </w:r>
    </w:p>
    <w:p>
      <w:pPr>
        <w:numPr>
          <w:ilvl w:val="0"/>
          <w:numId w:val="1010"/>
        </w:numPr>
        <w:pStyle w:val="Compact"/>
      </w:pPr>
      <w:r>
        <w:rPr>
          <w:bCs/>
          <w:b/>
        </w:rPr>
        <w:t xml:space="preserve">Transportation:</w:t>
      </w:r>
      <w:r>
        <w:t xml:space="preserve"> </w:t>
      </w:r>
      <w:r>
        <w:t xml:space="preserve">While global, transportation\'s impact is relatively smaller than use phase and materials, but optimizing routes and modes (e.g., maximizing ocean freight over air) remains important.</w:t>
      </w:r>
    </w:p>
    <w:p>
      <w:pPr>
        <w:numPr>
          <w:ilvl w:val="0"/>
          <w:numId w:val="1010"/>
        </w:numPr>
        <w:pStyle w:val="Compact"/>
      </w:pPr>
      <w:r>
        <w:rPr>
          <w:bCs/>
          <w:b/>
        </w:rPr>
        <w:t xml:space="preserve">End-of-Life Benefits:</w:t>
      </w:r>
      <w:r>
        <w:t xml:space="preserve"> </w:t>
      </w:r>
      <w:r>
        <w:t xml:space="preserve">The high recyclability percentage and established take-back programs result in a net negative impact from this stage, highlighting the success of circular economy initiatives.</w:t>
      </w:r>
    </w:p>
    <w:bookmarkEnd w:id="36"/>
    <w:bookmarkStart w:id="37" w:name="reliability-and-limitations"/>
    <w:p>
      <w:pPr>
        <w:pStyle w:val="Heading4"/>
      </w:pPr>
      <w:r>
        <w:t xml:space="preserve">Reliability and Limitations:</w:t>
      </w:r>
    </w:p>
    <w:p>
      <w:pPr>
        <w:pStyle w:val="FirstParagraph"/>
      </w:pPr>
      <w:r>
        <w:t xml:space="preserve">The reliability of this PCF is good, given the detailed methodology and adherence to GHG Protocol standards. However, it is important to note:</w:t>
      </w:r>
    </w:p>
    <w:p>
      <w:pPr>
        <w:numPr>
          <w:ilvl w:val="0"/>
          <w:numId w:val="1011"/>
        </w:numPr>
        <w:pStyle w:val="Compact"/>
      </w:pPr>
      <w:r>
        <w:rPr>
          <w:bCs/>
          <w:b/>
        </w:rPr>
        <w:t xml:space="preserve">Illustrative Data:</w:t>
      </w:r>
      <w:r>
        <w:t xml:space="preserve"> </w:t>
      </w:r>
      <w:r>
        <w:t xml:space="preserve">Specific numerical inputs for parameters such as BOM composition, transport distances, energy usage, and lifespans were illustrative estimates for this report. Actual primary data from "ougrwgimor" and its supply chain would enhance accuracy.</w:t>
      </w:r>
    </w:p>
    <w:p>
      <w:pPr>
        <w:numPr>
          <w:ilvl w:val="0"/>
          <w:numId w:val="1011"/>
        </w:numPr>
        <w:pStyle w:val="Compact"/>
      </w:pPr>
      <w:r>
        <w:rPr>
          <w:bCs/>
          <w:b/>
        </w:rPr>
        <w:t xml:space="preserve">Emission Factor Specificity:</w:t>
      </w:r>
      <w:r>
        <w:t xml:space="preserve"> </w:t>
      </w:r>
      <w:r>
        <w:t xml:space="preserve">While industry-standard emission factors were used, country- and supplier-specific emission factors for all raw materials and processes could further refine the calculations.</w:t>
      </w:r>
    </w:p>
    <w:p>
      <w:pPr>
        <w:numPr>
          <w:ilvl w:val="0"/>
          <w:numId w:val="1011"/>
        </w:numPr>
        <w:pStyle w:val="Compact"/>
      </w:pPr>
      <w:r>
        <w:rPr>
          <w:bCs/>
          <w:b/>
        </w:rPr>
        <w:t xml:space="preserve">LSR Update:</w:t>
      </w:r>
      <w:r>
        <w:t xml:space="preserve"> </w:t>
      </w:r>
      <w:r>
        <w:t xml:space="preserve">The conceptual application of the 2026 LSR Update highlights a future area for more detailed data collection, especially concerning any land-use changes attributable to raw material sourcing.</w:t>
      </w:r>
    </w:p>
    <w:p>
      <w:pPr>
        <w:pStyle w:val="FirstParagraph"/>
      </w:pPr>
      <w:r>
        <w:t xml:space="preserve">Further efforts should focus on collecting primary data for high-impact areas, particularly related to the use phase and material origins, to continuously improve the accuracy and actionability of this PCF analysis.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37"/>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mrxonrtfgo</dc:title>
  <dc:creator/>
  <dc:description>High-detail Product Carbon Footprint (PCF) analysis report for product mrxonrtfgo, assessing GHG emissions across its lifecycle, aligned with GHG Protocol standards.</dc:description>
  <dc:language>en</dc:language>
  <cp:keywords/>
  <dcterms:created xsi:type="dcterms:W3CDTF">2026-07-15T09:29:38Z</dcterms:created>
  <dcterms:modified xsi:type="dcterms:W3CDTF">2026-07-15T09:29:38Z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