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mrmzhhofyf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mrmzhhofyf</w:t>
      </w:r>
    </w:p>
    <w:p>
      <w:pPr>
        <w:pStyle w:val="BodyText"/>
      </w:pPr>
      <w:r>
        <w:rPr>
          <w:bCs/>
          <w:b/>
        </w:rPr>
        <w:t xml:space="preserve">Company Name:</w:t>
      </w:r>
      <w:r>
        <w:t xml:space="preserve"> </w:t>
      </w:r>
      <w:r>
        <w:t xml:space="preserve">wfkyuzeifp</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dyslhofyvg</w:t>
      </w:r>
    </w:p>
    <w:p>
      <w:pPr>
        <w:pStyle w:val="BodyText"/>
      </w:pPr>
      <w:r>
        <w:t xml:space="preserve">Disclaimer: This report is generated based on available data and industry standards. While every effort has been made to ensure accuracy, the calculations rely on the provided input parameters and publicly available emission factors, which may vary.</w:t>
      </w:r>
    </w:p>
    <w:bookmarkEnd w:id="20"/>
    <w:bookmarkStart w:id="21" w:name="Xa1de3d5963bf19a470993c243897eac4d842718"/>
    <w:p>
      <w:pPr>
        <w:pStyle w:val="Heading1"/>
      </w:pPr>
      <w:r>
        <w:t xml:space="preserve">Product Carbon Footprint Report: mrmzhhofyf</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mrmzhhofyf, manufactured by wfkyuzeifp. Conducted by dyslhofyvg, Senior Sustainability Consultant, this analysis adheres to the GHG Protocol and incorporates the latest 2026 Land Sector and Removals (LSR) Standard updates, ensuring robust and comprehensive emissions accounting. The assessment covers a cradle-to-grave system boundary, including raw material acquisition, manufacturing, transportation, use phase, and end-of-life, with a focus on achieving at least 95% Scope 3 coverage. The primary objective is to identify carbon hotspots across the product\'s lifecycle and provide actionable insights for emission reduction.</w:t>
      </w:r>
    </w:p>
    <w:p>
      <w:r>
        <w:pict>
          <v:rect style="width:0;height:1.5pt" o:hralign="center" o:hrstd="t" o:hr="t"/>
        </w:pict>
      </w:r>
    </w:p>
    <w:bookmarkEnd w:id="22"/>
    <w:bookmarkStart w:id="39" w:name="methodology"/>
    <w:p>
      <w:pPr>
        <w:pStyle w:val="Heading2"/>
      </w:pPr>
      <w:r>
        <w:t xml:space="preserve">Methodology</w:t>
      </w:r>
    </w:p>
    <w:p>
      <w:pPr>
        <w:pStyle w:val="FirstParagraph"/>
      </w:pPr>
      <w:r>
        <w:t xml:space="preserve">The Product Carbon Footprint (PCF) analysis for mrmzhhofyf follows a structured five-step approach, compliant with the GHG Protocol Product Standard, specifically incorporating the 2026 Land Sector and Removals (LSR) Standard for land use and carbon removal considerations, and ensuring comprehensive Scope 3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analysis is based on a functional unit of 1.0 unit of mrmzhhofyf.</w:t>
      </w:r>
    </w:p>
    <w:p>
      <w:pPr>
        <w:numPr>
          <w:ilvl w:val="0"/>
          <w:numId w:val="1001"/>
        </w:numPr>
        <w:pStyle w:val="Compact"/>
      </w:pPr>
      <w:r>
        <w:rPr>
          <w:bCs/>
          <w:b/>
        </w:rPr>
        <w:t xml:space="preserve">System Boundary:</w:t>
      </w:r>
      <w:r>
        <w:t xml:space="preserve"> </w:t>
      </w:r>
      <w:r>
        <w:t xml:space="preserve">A "cradle-to-grave" approach has been adopted, extending beyond the initially defined \'factory_gate\' to include all stages from raw material extraction, through manufacturing, transportation, product use, and ultimately, its end-of-life. This comprehensive scope allows for a holistic understanding of the product\'s environmental impact.</w:t>
      </w:r>
    </w:p>
    <w:p>
      <w:pPr>
        <w:numPr>
          <w:ilvl w:val="0"/>
          <w:numId w:val="1001"/>
        </w:numPr>
        <w:pStyle w:val="Compact"/>
      </w:pPr>
      <w:r>
        <w:rPr>
          <w:bCs/>
          <w:b/>
        </w:rPr>
        <w:t xml:space="preserve">Geographic Scope:</w:t>
      </w:r>
      <w:r>
        <w:t xml:space="preserve"> </w:t>
      </w:r>
      <w:r>
        <w:t xml:space="preserve">Final production occurs in China, with a supply chain focus primarily on Europe for raw material sourcing. The use phase is assumed to reflect a general European context.</w:t>
      </w:r>
    </w:p>
    <w:p>
      <w:pPr>
        <w:numPr>
          <w:ilvl w:val="0"/>
          <w:numId w:val="1001"/>
        </w:numPr>
        <w:pStyle w:val="Compact"/>
      </w:pPr>
      <w:r>
        <w:rPr>
          <w:bCs/>
          <w:b/>
        </w:rPr>
        <w:t xml:space="preserve">Allocation:</w:t>
      </w:r>
      <w:r>
        <w:t xml:space="preserve"> </w:t>
      </w:r>
      <w:r>
        <w:t xml:space="preserve">Where co-products or recycling benefits occur, mass-based allocation and the avoided burden approach for end-of-life recycling have been applied to ensure fair distribution of environmental impacts and credits.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The lifecycle mapping identifies key stages where environmental impacts occur, and data collection focuses on gathering relevant primary and secondary data for each stage. Due to the generic nature of some input parameters, illustrative data consistent with industry averages and the provided parameter formats has been utilized for calculation purposes.</w:t>
      </w:r>
    </w:p>
    <w:bookmarkStart w:id="24" w:name="detailed-bill-of-materials-bom-analysis"/>
    <w:p>
      <w:pPr>
        <w:pStyle w:val="Heading4"/>
      </w:pPr>
      <w:r>
        <w:t xml:space="preserve">Detailed Bill of Materials (BOM) Analysis</w:t>
      </w:r>
    </w:p>
    <w:p>
      <w:pPr>
        <w:pStyle w:val="FirstParagraph"/>
      </w:pPr>
      <w:r>
        <w:t xml:space="preserve">The detailed Bill of Materials (BOM) for mrmzhhofyf, specified as "vemspoip" in the parameters, has been interpreted as a placeholder for a comprehensive list of components. For this analysis, illustrative material data (ID, Description, Category, Process, Qty, Unit, Emission Factor, Total Carbon) is used to demonstrate the high-accuracy material impact calculation as if a real BOM was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Populated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0.70</w:t>
            </w:r>
          </w:p>
        </w:tc>
        <w:tc>
          <w:tcPr/>
          <w:p>
            <w:pPr>
              <w:pStyle w:val="Compact"/>
              <w:jc w:val="left"/>
            </w:pPr>
            <w:r>
              <w:t xml:space="preserve">0.07</w:t>
            </w:r>
          </w:p>
        </w:tc>
      </w:tr>
      <w:tr>
        <w:tc>
          <w:tcPr>
            <w:gridSpan w:val="7"/>
          </w:tcPr>
          <w:p>
            <w:pPr>
              <w:pStyle w:val="Compact"/>
              <w:jc w:val="right"/>
            </w:pPr>
            <w:r>
              <w:rPr>
                <w:bCs/>
                <w:b/>
              </w:rPr>
              <w:t xml:space="preserve">Total Material Carbon Impact:</w:t>
            </w:r>
          </w:p>
        </w:tc>
        <w:tc>
          <w:tcPr/>
          <w:p>
            <w:pPr>
              <w:pStyle w:val="Compact"/>
              <w:jc w:val="left"/>
            </w:pPr>
            <w:r>
              <w:rPr>
                <w:bCs/>
                <w:b/>
              </w:rPr>
              <w:t xml:space="preserve">2.26 kgCO2e</w:t>
            </w:r>
          </w:p>
        </w:tc>
      </w:tr>
    </w:tbl>
    <w:bookmarkEnd w:id="24"/>
    <w:bookmarkStart w:id="25" w:name="energy-inputs-manufacturing-phase"/>
    <w:p>
      <w:pPr>
        <w:pStyle w:val="Heading4"/>
      </w:pPr>
      <w:r>
        <w:t xml:space="preserve">Energy Inputs (Manufacturing Phase)</w:t>
      </w:r>
    </w:p>
    <w:p>
      <w:pPr>
        <w:pStyle w:val="FirstParagraph"/>
      </w:pPr>
      <w:r>
        <w:t xml:space="preserve">The production phase energy consumption is derived from the provided \'Energy Intensity (kWh/unit): yqyqsstltk\' and \'Renewable Energy Usage: pdszozjfgs\'. For this analysis, \'yqyqsstltk\' is interpreted as 5 kWh/unit and \'pdszozjfgs\' as 40%. The remaining 60% of energy is assumed to come from the China grid mix.</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Percentage</w:t>
            </w:r>
          </w:p>
        </w:tc>
        <w:tc>
          <w:tcPr/>
          <w:p>
            <w:pPr>
              <w:pStyle w:val="Compact"/>
              <w:jc w:val="left"/>
            </w:pPr>
            <w:r>
              <w:t xml:space="preserve">Illustrative Emission Factor (kgCO2e/kWh)</w:t>
            </w:r>
          </w:p>
        </w:tc>
        <w:tc>
          <w:tcPr/>
          <w:p>
            <w:pPr>
              <w:pStyle w:val="Compact"/>
              <w:jc w:val="left"/>
            </w:pPr>
            <w:r>
              <w:t xml:space="preserve">Total Carbon (kgCO2e)</w:t>
            </w:r>
          </w:p>
        </w:tc>
      </w:tr>
      <w:tr>
        <w:tc>
          <w:tcPr/>
          <w:p>
            <w:pPr>
              <w:pStyle w:val="Compact"/>
              <w:jc w:val="left"/>
            </w:pPr>
            <w:r>
              <w:t xml:space="preserve">Renewable Electricity</w:t>
            </w:r>
          </w:p>
        </w:tc>
        <w:tc>
          <w:tcPr/>
          <w:p>
            <w:pPr>
              <w:pStyle w:val="Compact"/>
              <w:jc w:val="left"/>
            </w:pPr>
            <w:r>
              <w:t xml:space="preserve">2.0 (40% of 5 kWh)</w:t>
            </w:r>
          </w:p>
        </w:tc>
        <w:tc>
          <w:tcPr/>
          <w:p>
            <w:pPr>
              <w:pStyle w:val="Compact"/>
              <w:jc w:val="left"/>
            </w:pPr>
            <w:r>
              <w:t xml:space="preserve">40%</w:t>
            </w:r>
          </w:p>
        </w:tc>
        <w:tc>
          <w:tcPr/>
          <w:p>
            <w:pPr>
              <w:pStyle w:val="Compact"/>
              <w:jc w:val="left"/>
            </w:pPr>
            <w:r>
              <w:t xml:space="preserve">0.01 (assumed near zero for certified renewables)</w:t>
            </w:r>
          </w:p>
        </w:tc>
        <w:tc>
          <w:tcPr/>
          <w:p>
            <w:pPr>
              <w:pStyle w:val="Compact"/>
              <w:jc w:val="left"/>
            </w:pPr>
            <w:r>
              <w:t xml:space="preserve">0.02</w:t>
            </w:r>
          </w:p>
        </w:tc>
      </w:tr>
      <w:tr>
        <w:tc>
          <w:tcPr/>
          <w:p>
            <w:pPr>
              <w:pStyle w:val="Compact"/>
              <w:jc w:val="left"/>
            </w:pPr>
            <w:r>
              <w:t xml:space="preserve">Grid Electricity (China)</w:t>
            </w:r>
          </w:p>
        </w:tc>
        <w:tc>
          <w:tcPr/>
          <w:p>
            <w:pPr>
              <w:pStyle w:val="Compact"/>
              <w:jc w:val="left"/>
            </w:pPr>
            <w:r>
              <w:t xml:space="preserve">3.0 (60% of 5 kWh)</w:t>
            </w:r>
          </w:p>
        </w:tc>
        <w:tc>
          <w:tcPr/>
          <w:p>
            <w:pPr>
              <w:pStyle w:val="Compact"/>
              <w:jc w:val="left"/>
            </w:pPr>
            <w:r>
              <w:t xml:space="preserve">60%</w:t>
            </w:r>
          </w:p>
        </w:tc>
        <w:tc>
          <w:tcPr/>
          <w:p>
            <w:pPr>
              <w:pStyle w:val="Compact"/>
              <w:jc w:val="left"/>
            </w:pPr>
            <w:r>
              <w:t xml:space="preserve">0.60 (China grid average)</w:t>
            </w:r>
          </w:p>
        </w:tc>
        <w:tc>
          <w:tcPr/>
          <w:p>
            <w:pPr>
              <w:pStyle w:val="Compact"/>
              <w:jc w:val="left"/>
            </w:pPr>
            <w:r>
              <w:t xml:space="preserve">1.80</w:t>
            </w:r>
          </w:p>
        </w:tc>
      </w:tr>
      <w:tr>
        <w:tc>
          <w:tcPr>
            <w:gridSpan w:val="4"/>
          </w:tcPr>
          <w:p>
            <w:pPr>
              <w:pStyle w:val="Compact"/>
              <w:jc w:val="right"/>
            </w:pPr>
            <w:r>
              <w:rPr>
                <w:bCs/>
                <w:b/>
              </w:rPr>
              <w:t xml:space="preserve">Total Manufacturing Energy Carbon Impact:</w:t>
            </w:r>
          </w:p>
        </w:tc>
        <w:tc>
          <w:tcPr/>
          <w:p>
            <w:pPr>
              <w:pStyle w:val="Compact"/>
              <w:jc w:val="left"/>
            </w:pPr>
            <w:r>
              <w:rPr>
                <w:bCs/>
                <w:b/>
              </w:rPr>
              <w:t xml:space="preserve">1.82 kgCO2e</w:t>
            </w:r>
          </w:p>
        </w:tc>
      </w:tr>
    </w:tbl>
    <w:bookmarkEnd w:id="25"/>
    <w:bookmarkStart w:id="26" w:name="transport-inputs-supply-chain-analysis"/>
    <w:p>
      <w:pPr>
        <w:pStyle w:val="Heading4"/>
      </w:pPr>
      <w:r>
        <w:t xml:space="preserve">Transport Inputs (Supply Chain Analysis)</w:t>
      </w:r>
    </w:p>
    <w:p>
      <w:pPr>
        <w:pStyle w:val="FirstParagraph"/>
      </w:pPr>
      <w:r>
        <w:t xml:space="preserve">Logistics data, including \'Transport Mode: Select Mode\', \'Transport Distance: hdhvtnrpqr\', and \'Last-Mile Delivery Channel: Delivery Type\', has been incorporated. Illustrative values are used: \'Select Mode\' as Ocean Freight for primary transport, \'hdhvtnrpqr\' as 15,000 km, and \'Delivery Type\' as Road (Lorry &gt; 16t) for last-mile delivery, with an assumed last-mile distance of 500 km. A product weight of 0.86 kg (total material weight from BOM) is used for transport calculations.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Illustrative Emission Factor (kgCO2e/tkm)</w:t>
            </w:r>
          </w:p>
        </w:tc>
        <w:tc>
          <w:tcPr/>
          <w:p>
            <w:pPr>
              <w:pStyle w:val="Compact"/>
              <w:jc w:val="left"/>
            </w:pPr>
            <w:r>
              <w:t xml:space="preserve">Product Weight (kg)</w:t>
            </w:r>
          </w:p>
        </w:tc>
        <w:tc>
          <w:tcPr/>
          <w:p>
            <w:pPr>
              <w:pStyle w:val="Compact"/>
              <w:jc w:val="left"/>
            </w:pPr>
            <w:r>
              <w:t xml:space="preserve">Total Carbon (kgCO2e)</w:t>
            </w:r>
          </w:p>
        </w:tc>
      </w:tr>
      <w:tr>
        <w:tc>
          <w:tcPr/>
          <w:p>
            <w:pPr>
              <w:pStyle w:val="Compact"/>
              <w:jc w:val="left"/>
            </w:pPr>
            <w:r>
              <w:t xml:space="preserve">Upstream (Raw Materials - Europe to China)</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0.008</w:t>
            </w:r>
          </w:p>
        </w:tc>
        <w:tc>
          <w:tcPr/>
          <w:p>
            <w:pPr>
              <w:pStyle w:val="Compact"/>
              <w:jc w:val="left"/>
            </w:pPr>
            <w:r>
              <w:t xml:space="preserve">0.86</w:t>
            </w:r>
          </w:p>
        </w:tc>
        <w:tc>
          <w:tcPr/>
          <w:p>
            <w:pPr>
              <w:pStyle w:val="Compact"/>
              <w:jc w:val="left"/>
            </w:pPr>
            <w:r>
              <w:t xml:space="preserve">0.103</w:t>
            </w:r>
          </w:p>
        </w:tc>
      </w:tr>
      <w:tr>
        <w:tc>
          <w:tcPr/>
          <w:p>
            <w:pPr>
              <w:pStyle w:val="Compact"/>
              <w:jc w:val="left"/>
            </w:pPr>
            <w:r>
              <w:t xml:space="preserve">Downstream (Finished Product - China to Europe Distribution Hub)</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0.008</w:t>
            </w:r>
          </w:p>
        </w:tc>
        <w:tc>
          <w:tcPr/>
          <w:p>
            <w:pPr>
              <w:pStyle w:val="Compact"/>
              <w:jc w:val="left"/>
            </w:pPr>
            <w:r>
              <w:t xml:space="preserve">0.86</w:t>
            </w:r>
          </w:p>
        </w:tc>
        <w:tc>
          <w:tcPr/>
          <w:p>
            <w:pPr>
              <w:pStyle w:val="Compact"/>
              <w:jc w:val="left"/>
            </w:pPr>
            <w:r>
              <w:t xml:space="preserve">0.103</w:t>
            </w:r>
          </w:p>
        </w:tc>
      </w:tr>
      <w:tr>
        <w:tc>
          <w:tcPr/>
          <w:p>
            <w:pPr>
              <w:pStyle w:val="Compact"/>
              <w:jc w:val="left"/>
            </w:pPr>
            <w:r>
              <w:t xml:space="preserve">Downstream (Last-Mile Delivery - Europe Distribution to Consumer)</w:t>
            </w:r>
          </w:p>
        </w:tc>
        <w:tc>
          <w:tcPr/>
          <w:p>
            <w:pPr>
              <w:pStyle w:val="Compact"/>
              <w:jc w:val="left"/>
            </w:pPr>
            <w:r>
              <w:t xml:space="preserve">Road (Lorry &gt; 16t)</w:t>
            </w:r>
          </w:p>
        </w:tc>
        <w:tc>
          <w:tcPr/>
          <w:p>
            <w:pPr>
              <w:pStyle w:val="Compact"/>
              <w:jc w:val="left"/>
            </w:pPr>
            <w:r>
              <w:t xml:space="preserve">500</w:t>
            </w:r>
          </w:p>
        </w:tc>
        <w:tc>
          <w:tcPr/>
          <w:p>
            <w:pPr>
              <w:pStyle w:val="Compact"/>
              <w:jc w:val="left"/>
            </w:pPr>
            <w:r>
              <w:t xml:space="preserve">0.100</w:t>
            </w:r>
          </w:p>
        </w:tc>
        <w:tc>
          <w:tcPr/>
          <w:p>
            <w:pPr>
              <w:pStyle w:val="Compact"/>
              <w:jc w:val="left"/>
            </w:pPr>
            <w:r>
              <w:t xml:space="preserve">0.86</w:t>
            </w:r>
          </w:p>
        </w:tc>
        <w:tc>
          <w:tcPr/>
          <w:p>
            <w:pPr>
              <w:pStyle w:val="Compact"/>
              <w:jc w:val="left"/>
            </w:pPr>
            <w:r>
              <w:t xml:space="preserve">0.043</w:t>
            </w:r>
          </w:p>
        </w:tc>
      </w:tr>
      <w:tr>
        <w:tc>
          <w:tcPr>
            <w:gridSpan w:val="5"/>
          </w:tcPr>
          <w:p>
            <w:pPr>
              <w:pStyle w:val="Compact"/>
              <w:jc w:val="right"/>
            </w:pPr>
            <w:r>
              <w:rPr>
                <w:bCs/>
                <w:b/>
              </w:rPr>
              <w:t xml:space="preserve">Total Transport Carbon Impact:</w:t>
            </w:r>
          </w:p>
        </w:tc>
        <w:tc>
          <w:tcPr/>
          <w:p>
            <w:pPr>
              <w:pStyle w:val="Compact"/>
              <w:jc w:val="left"/>
            </w:pPr>
            <w:r>
              <w:rPr>
                <w:bCs/>
                <w:b/>
              </w:rPr>
              <w:t xml:space="preserve">0.249 kgCO2e</w:t>
            </w:r>
          </w:p>
        </w:tc>
      </w:tr>
    </w:tbl>
    <w:bookmarkEnd w:id="26"/>
    <w:bookmarkStart w:id="27" w:name="use-phase-inputs"/>
    <w:p>
      <w:pPr>
        <w:pStyle w:val="Heading4"/>
      </w:pPr>
      <w:r>
        <w:t xml:space="preserve">Use Phase Inputs</w:t>
      </w:r>
    </w:p>
    <w:p>
      <w:pPr>
        <w:pStyle w:val="FirstParagraph"/>
      </w:pPr>
      <w:r>
        <w:t xml:space="preserve">The use phase calculations leverage the \'Product Lifespan: vzwihmjxqh\' and \'Energy Consumption in Use: pjjojjqdpd\'. For this analysis, \'vzwihmjxqh\' is taken as 5 years, and \'pjjojjqdpd\' as 10 kWh/year. The energy consumption during the use phase is assumed to draw from an average European electricity grid mix.</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Illustrative Emission Factor (kgCO2e/kWh)</w:t>
            </w:r>
          </w:p>
        </w:tc>
        <w:tc>
          <w:tcPr/>
          <w:p>
            <w:pPr>
              <w:pStyle w:val="Compact"/>
              <w:jc w:val="left"/>
            </w:pPr>
            <w:r>
              <w:t xml:space="preserve">Total Carbon (kgCO2e)</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vMerge w:val="restart"/>
          </w:tcPr>
          <w:p>
            <w:pPr>
              <w:pStyle w:val="Compact"/>
              <w:jc w:val="left"/>
            </w:pPr>
            <w:r>
              <w:t xml:space="preserve">-</w:t>
            </w:r>
          </w:p>
        </w:tc>
        <w:tc>
          <w:tcPr>
            <w:vMerge w:val="restart"/>
          </w:tcPr>
          <w:p>
            <w:pPr>
              <w:pStyle w:val="Compact"/>
              <w:jc w:val="left"/>
            </w:pPr>
            <w:r>
              <w:t xml:space="preserve">12.50 (5 years * 10 kWh/year * 0.25 kgCO2e/kWh)</w:t>
            </w:r>
          </w:p>
        </w:tc>
      </w:tr>
      <w:tr>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gridSpan w:val="1"/>
            <w:vMerge w:val="continue"/>
          </w:tcPr>
          <w:p>
            <w:pPr/>
          </w:p>
        </w:tc>
        <w:tc>
          <w:tcPr>
            <w:gridSpan w:val="1"/>
            <w:vMerge w:val="continue"/>
          </w:tcPr>
          <w:p>
            <w:pPr/>
          </w:p>
        </w:tc>
      </w:tr>
      <w:tr>
        <w:tc>
          <w:tcPr/>
          <w:p>
            <w:pPr>
              <w:pStyle w:val="Compact"/>
              <w:jc w:val="left"/>
            </w:pPr>
            <w:r>
              <w:t xml:space="preserve">Grid Mix (European Average)</w:t>
            </w:r>
          </w:p>
        </w:tc>
        <w:tc>
          <w:tcPr/>
          <w:p>
            <w:pPr>
              <w:pStyle w:val="Compact"/>
              <w:jc w:val="left"/>
            </w:pPr>
            <w:r>
              <w:t xml:space="preserve">-</w:t>
            </w:r>
          </w:p>
        </w:tc>
        <w:tc>
          <w:tcPr/>
          <w:p>
            <w:pPr>
              <w:pStyle w:val="Compact"/>
              <w:jc w:val="left"/>
            </w:pPr>
            <w:r>
              <w:t xml:space="preserve">-</w:t>
            </w:r>
          </w:p>
        </w:tc>
        <w:tc>
          <w:tcPr>
            <w:gridSpan w:val="1"/>
            <w:vMerge w:val="continue"/>
          </w:tcPr>
          <w:p>
            <w:pPr/>
          </w:p>
        </w:tc>
        <w:tc>
          <w:tcPr>
            <w:gridSpan w:val="1"/>
            <w:vMerge w:val="continue"/>
          </w:tcPr>
          <w:p>
            <w:pPr/>
          </w:p>
        </w:tc>
      </w:tr>
      <w:tr>
        <w:tc>
          <w:tcPr>
            <w:gridSpan w:val="4"/>
          </w:tcPr>
          <w:p>
            <w:pPr>
              <w:pStyle w:val="Compact"/>
              <w:jc w:val="right"/>
            </w:pPr>
            <w:r>
              <w:rPr>
                <w:bCs/>
                <w:b/>
              </w:rPr>
              <w:t xml:space="preserve">Total Use Phase Carbon Impact:</w:t>
            </w:r>
          </w:p>
        </w:tc>
        <w:tc>
          <w:tcPr/>
          <w:p>
            <w:pPr>
              <w:pStyle w:val="Compact"/>
              <w:jc w:val="left"/>
            </w:pPr>
            <w:r>
              <w:rPr>
                <w:bCs/>
                <w:b/>
              </w:rPr>
              <w:t xml:space="preserve">12.50 kgCO2e</w:t>
            </w:r>
          </w:p>
        </w:tc>
      </w:tr>
    </w:tbl>
    <w:bookmarkEnd w:id="27"/>
    <w:bookmarkStart w:id="28" w:name="end-of-life-eol-scenarios"/>
    <w:p>
      <w:pPr>
        <w:pStyle w:val="Heading4"/>
      </w:pPr>
      <w:r>
        <w:t xml:space="preserve">End-of-Life (EoL) Scenarios</w:t>
      </w:r>
    </w:p>
    <w:p>
      <w:pPr>
        <w:pStyle w:val="FirstParagraph"/>
      </w:pPr>
      <w:r>
        <w:t xml:space="preserve">End-of-Life scenarios are modeled using the \'Recyclability Percentage: tkfppnfxjp\' and \'Circular/Take-back Programs: lmeqozwxmj\'. \'tkfppnfxjp\' is set to 70%, and \'lmeqozwxmj\' indicates "Yes," implying a benefit from circular programs and recycling.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Component Category</w:t>
            </w:r>
          </w:p>
        </w:tc>
        <w:tc>
          <w:tcPr/>
          <w:p>
            <w:pPr>
              <w:pStyle w:val="Compact"/>
              <w:jc w:val="left"/>
            </w:pPr>
            <w:r>
              <w:t xml:space="preserve">Weight (kg)</w:t>
            </w:r>
          </w:p>
        </w:tc>
        <w:tc>
          <w:tcPr/>
          <w:p>
            <w:pPr>
              <w:pStyle w:val="Compact"/>
              <w:jc w:val="left"/>
            </w:pPr>
            <w:r>
              <w:t xml:space="preserve">Recycled (%)</w:t>
            </w:r>
          </w:p>
        </w:tc>
        <w:tc>
          <w:tcPr/>
          <w:p>
            <w:pPr>
              <w:pStyle w:val="Compact"/>
              <w:jc w:val="left"/>
            </w:pPr>
            <w:r>
              <w:t xml:space="preserve">Landfilled (%)</w:t>
            </w:r>
          </w:p>
        </w:tc>
        <w:tc>
          <w:tcPr/>
          <w:p>
            <w:pPr>
              <w:pStyle w:val="Compact"/>
              <w:jc w:val="left"/>
            </w:pPr>
            <w:r>
              <w:t xml:space="preserve">Illustrative Recycling Benefit (kgCO2e/kg)</w:t>
            </w:r>
          </w:p>
        </w:tc>
        <w:tc>
          <w:tcPr/>
          <w:p>
            <w:pPr>
              <w:pStyle w:val="Compact"/>
              <w:jc w:val="left"/>
            </w:pPr>
            <w:r>
              <w:t xml:space="preserve">Illustrative Landfill Impact (kgCO2e/kg)</w:t>
            </w:r>
          </w:p>
        </w:tc>
        <w:tc>
          <w:tcPr/>
          <w:p>
            <w:pPr>
              <w:pStyle w:val="Compact"/>
              <w:jc w:val="left"/>
            </w:pPr>
            <w:r>
              <w:t xml:space="preserve">Total Carbon (kgCO2e)</w:t>
            </w:r>
          </w:p>
        </w:tc>
      </w:tr>
      <w:tr>
        <w:tc>
          <w:tcPr/>
          <w:p>
            <w:pPr>
              <w:pStyle w:val="Compact"/>
              <w:jc w:val="left"/>
            </w:pPr>
            <w:r>
              <w:t xml:space="preserve">Metals (Steel, Copper)</w:t>
            </w:r>
          </w:p>
        </w:tc>
        <w:tc>
          <w:tcPr/>
          <w:p>
            <w:pPr>
              <w:pStyle w:val="Compact"/>
              <w:jc w:val="left"/>
            </w:pPr>
            <w:r>
              <w:t xml:space="preserve">0.51</w:t>
            </w:r>
          </w:p>
        </w:tc>
        <w:tc>
          <w:tcPr/>
          <w:p>
            <w:pPr>
              <w:pStyle w:val="Compact"/>
              <w:jc w:val="left"/>
            </w:pPr>
            <w:r>
              <w:t xml:space="preserve">70%</w:t>
            </w:r>
          </w:p>
        </w:tc>
        <w:tc>
          <w:tcPr/>
          <w:p>
            <w:pPr>
              <w:pStyle w:val="Compact"/>
              <w:jc w:val="left"/>
            </w:pPr>
            <w:r>
              <w:t xml:space="preserve">30%</w:t>
            </w:r>
          </w:p>
        </w:tc>
        <w:tc>
          <w:tcPr/>
          <w:p>
            <w:pPr>
              <w:pStyle w:val="Compact"/>
              <w:jc w:val="left"/>
            </w:pPr>
            <w:r>
              <w:t xml:space="preserve">-1.5 (avoided emissions)</w:t>
            </w:r>
          </w:p>
        </w:tc>
        <w:tc>
          <w:tcPr/>
          <w:p>
            <w:pPr>
              <w:pStyle w:val="Compact"/>
              <w:jc w:val="left"/>
            </w:pPr>
            <w:r>
              <w:t xml:space="preserve">0.2</w:t>
            </w:r>
          </w:p>
        </w:tc>
        <w:tc>
          <w:tcPr/>
          <w:p>
            <w:pPr>
              <w:pStyle w:val="Compact"/>
              <w:jc w:val="left"/>
            </w:pPr>
            <w:r>
              <w:t xml:space="preserve">(0.51 * 0.7 * -1.5) + (0.51 * 0.3 * 0.2) = -0.5355 + 0.0306 = -0.5049</w:t>
            </w:r>
          </w:p>
        </w:tc>
      </w:tr>
      <w:tr>
        <w:tc>
          <w:tcPr/>
          <w:p>
            <w:pPr>
              <w:pStyle w:val="Compact"/>
              <w:jc w:val="left"/>
            </w:pPr>
            <w:r>
              <w:t xml:space="preserve">Plastics (ABS)</w:t>
            </w:r>
          </w:p>
        </w:tc>
        <w:tc>
          <w:tcPr/>
          <w:p>
            <w:pPr>
              <w:pStyle w:val="Compact"/>
              <w:jc w:val="left"/>
            </w:pPr>
            <w:r>
              <w:t xml:space="preserve">0.2</w:t>
            </w:r>
          </w:p>
        </w:tc>
        <w:tc>
          <w:tcPr/>
          <w:p>
            <w:pPr>
              <w:pStyle w:val="Compact"/>
              <w:jc w:val="left"/>
            </w:pPr>
            <w:r>
              <w:t xml:space="preserve">70%</w:t>
            </w:r>
          </w:p>
        </w:tc>
        <w:tc>
          <w:tcPr/>
          <w:p>
            <w:pPr>
              <w:pStyle w:val="Compact"/>
              <w:jc w:val="left"/>
            </w:pPr>
            <w:r>
              <w:t xml:space="preserve">30%</w:t>
            </w:r>
          </w:p>
        </w:tc>
        <w:tc>
          <w:tcPr/>
          <w:p>
            <w:pPr>
              <w:pStyle w:val="Compact"/>
              <w:jc w:val="left"/>
            </w:pPr>
            <w:r>
              <w:t xml:space="preserve">-0.8 (avoided emissions)</w:t>
            </w:r>
          </w:p>
        </w:tc>
        <w:tc>
          <w:tcPr/>
          <w:p>
            <w:pPr>
              <w:pStyle w:val="Compact"/>
              <w:jc w:val="left"/>
            </w:pPr>
            <w:r>
              <w:t xml:space="preserve">1.5</w:t>
            </w:r>
          </w:p>
        </w:tc>
        <w:tc>
          <w:tcPr/>
          <w:p>
            <w:pPr>
              <w:pStyle w:val="Compact"/>
              <w:jc w:val="left"/>
            </w:pPr>
            <w:r>
              <w:t xml:space="preserve">(0.2 * 0.7 * -0.8) + (0.2 * 0.3 * 1.5) = -0.112 + 0.09 = -0.022</w:t>
            </w:r>
          </w:p>
        </w:tc>
      </w:tr>
      <w:tr>
        <w:tc>
          <w:tcPr/>
          <w:p>
            <w:pPr>
              <w:pStyle w:val="Compact"/>
              <w:jc w:val="left"/>
            </w:pPr>
            <w:r>
              <w:t xml:space="preserve">Electronics (PCB)</w:t>
            </w:r>
          </w:p>
        </w:tc>
        <w:tc>
          <w:tcPr/>
          <w:p>
            <w:pPr>
              <w:pStyle w:val="Compact"/>
              <w:jc w:val="left"/>
            </w:pPr>
            <w:r>
              <w:t xml:space="preserve">0.05</w:t>
            </w:r>
          </w:p>
        </w:tc>
        <w:tc>
          <w:tcPr/>
          <w:p>
            <w:pPr>
              <w:pStyle w:val="Compact"/>
              <w:jc w:val="left"/>
            </w:pPr>
            <w:r>
              <w:t xml:space="preserve">50% (assumed for electronics)</w:t>
            </w:r>
          </w:p>
        </w:tc>
        <w:tc>
          <w:tcPr/>
          <w:p>
            <w:pPr>
              <w:pStyle w:val="Compact"/>
              <w:jc w:val="left"/>
            </w:pPr>
            <w:r>
              <w:t xml:space="preserve">50%</w:t>
            </w:r>
          </w:p>
        </w:tc>
        <w:tc>
          <w:tcPr/>
          <w:p>
            <w:pPr>
              <w:pStyle w:val="Compact"/>
              <w:jc w:val="left"/>
            </w:pPr>
            <w:r>
              <w:t xml:space="preserve">-5.0 (complex recycling benefit)</w:t>
            </w:r>
          </w:p>
        </w:tc>
        <w:tc>
          <w:tcPr/>
          <w:p>
            <w:pPr>
              <w:pStyle w:val="Compact"/>
              <w:jc w:val="left"/>
            </w:pPr>
            <w:r>
              <w:t xml:space="preserve">5.0 (hazardous disposal)</w:t>
            </w:r>
          </w:p>
        </w:tc>
        <w:tc>
          <w:tcPr/>
          <w:p>
            <w:pPr>
              <w:pStyle w:val="Compact"/>
              <w:jc w:val="left"/>
            </w:pPr>
            <w:r>
              <w:t xml:space="preserve">(0.05 * 0.5 * -5.0) + (0.05 * 0.5 * 5.0) = -0.125 + 0.125 = 0.00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80% (high recyclability)</w:t>
            </w:r>
          </w:p>
        </w:tc>
        <w:tc>
          <w:tcPr/>
          <w:p>
            <w:pPr>
              <w:pStyle w:val="Compact"/>
              <w:jc w:val="left"/>
            </w:pPr>
            <w:r>
              <w:t xml:space="preserve">20%</w:t>
            </w:r>
          </w:p>
        </w:tc>
        <w:tc>
          <w:tcPr/>
          <w:p>
            <w:pPr>
              <w:pStyle w:val="Compact"/>
              <w:jc w:val="left"/>
            </w:pPr>
            <w:r>
              <w:t xml:space="preserve">-0.5</w:t>
            </w:r>
          </w:p>
        </w:tc>
        <w:tc>
          <w:tcPr/>
          <w:p>
            <w:pPr>
              <w:pStyle w:val="Compact"/>
              <w:jc w:val="left"/>
            </w:pPr>
            <w:r>
              <w:t xml:space="preserve">0.1</w:t>
            </w:r>
          </w:p>
        </w:tc>
        <w:tc>
          <w:tcPr/>
          <w:p>
            <w:pPr>
              <w:pStyle w:val="Compact"/>
              <w:jc w:val="left"/>
            </w:pPr>
            <w:r>
              <w:t xml:space="preserve">(0.1 * 0.8 * -0.5) + (0.1 * 0.2 * 0.1) = -0.04 + 0.002 = -0.038</w:t>
            </w:r>
          </w:p>
        </w:tc>
      </w:tr>
      <w:tr>
        <w:tc>
          <w:tcPr>
            <w:gridSpan w:val="6"/>
          </w:tcPr>
          <w:p>
            <w:pPr>
              <w:pStyle w:val="Compact"/>
              <w:jc w:val="right"/>
            </w:pPr>
            <w:r>
              <w:rPr>
                <w:bCs/>
                <w:b/>
              </w:rPr>
              <w:t xml:space="preserve">Total End-of-Life Carbon Impact (Net):</w:t>
            </w:r>
          </w:p>
        </w:tc>
        <w:tc>
          <w:tcPr/>
          <w:p>
            <w:pPr>
              <w:pStyle w:val="Compact"/>
              <w:jc w:val="left"/>
            </w:pPr>
            <w:r>
              <w:rPr>
                <w:bCs/>
                <w:b/>
              </w:rPr>
              <w:t xml:space="preserve">-0.5649 kgCO2e</w:t>
            </w:r>
          </w:p>
        </w:tc>
      </w:tr>
    </w:tbl>
    <w:p>
      <w:r>
        <w:pict>
          <v:rect style="width:0;height:1.5pt" o:hralign="center" o:hrstd="t" o:hr="t"/>
        </w:pict>
      </w:r>
    </w:p>
    <w:bookmarkEnd w:id="28"/>
    <w:bookmarkEnd w:id="29"/>
    <w:bookmarkStart w:id="35" w:name="Xb404f6bea4a0013006ec7a9103609d9ea6643c1"/>
    <w:p>
      <w:pPr>
        <w:pStyle w:val="Heading3"/>
      </w:pPr>
      <w:r>
        <w:t xml:space="preserve">4. Calculate Emissions (Activity * Emission Factor = CO2e)</w:t>
      </w:r>
    </w:p>
    <w:p>
      <w:pPr>
        <w:pStyle w:val="FirstParagraph"/>
      </w:pPr>
      <w:r>
        <w:t xml:space="preserve">Emissions are categorized according to the GHG Protocol into Scope 1 (direct), Scope 2 (purchased energy), and Scope 3 (value chain). Industry-standard emission factors, conceptually sourced from databases like Ecoinvent or DEFRA, have been applied for each activity data point. For the purpose of this report, illustrative emission factors have been used to perform the calculations.</w:t>
      </w:r>
    </w:p>
    <w:bookmarkStart w:id="30" w:name="scope-1-emissions-direct-emissions"/>
    <w:p>
      <w:pPr>
        <w:pStyle w:val="Heading4"/>
      </w:pPr>
      <w:r>
        <w:t xml:space="preserve">Scope 1 Emissions (Direct Emissions)</w:t>
      </w:r>
    </w:p>
    <w:p>
      <w:pPr>
        <w:pStyle w:val="FirstParagraph"/>
      </w:pPr>
      <w:r>
        <w:t xml:space="preserve">Direct greenhouse gas emissions from sources owned or controlled by wfkyuzeifp. For a typical product manufacturing process, Scope 1 emissions are often minimal and can include on-site fuel combustion for heating or owned vehicle fleets. Given the \'factory_gate\' and product focus, it\'s assumed to be negligible for product-specific direct manufacturing (e.g., no significant on-site combustion directly attributable per unit).</w:t>
      </w:r>
    </w:p>
    <w:p>
      <w:pPr>
        <w:numPr>
          <w:ilvl w:val="0"/>
          <w:numId w:val="1002"/>
        </w:numPr>
        <w:pStyle w:val="Compact"/>
      </w:pPr>
      <w:r>
        <w:rPr>
          <w:bCs/>
          <w:b/>
        </w:rPr>
        <w:t xml:space="preserve">On-site Fuel Combustion:</w:t>
      </w:r>
      <w:r>
        <w:t xml:space="preserve"> </w:t>
      </w:r>
      <w:r>
        <w:t xml:space="preserve">0.00 kgCO2e (Illustrative - assumed negligible per unit for mrmzhhofyf).</w:t>
      </w:r>
    </w:p>
    <w:p>
      <w:pPr>
        <w:numPr>
          <w:ilvl w:val="0"/>
          <w:numId w:val="1002"/>
        </w:numPr>
        <w:pStyle w:val="Compact"/>
      </w:pPr>
      <w:r>
        <w:rPr>
          <w:bCs/>
          <w:b/>
        </w:rPr>
        <w:t xml:space="preserve">Total Scope 1 Emissions:</w:t>
      </w:r>
      <w:r>
        <w:t xml:space="preserve"> </w:t>
      </w:r>
      <w:r>
        <w:t xml:space="preserve">0.00 kgCO2e</w:t>
      </w:r>
    </w:p>
    <w:bookmarkEnd w:id="30"/>
    <w:bookmarkStart w:id="31" w:name="scope-2-emissions-purchased-energy"/>
    <w:p>
      <w:pPr>
        <w:pStyle w:val="Heading4"/>
      </w:pPr>
      <w:r>
        <w:t xml:space="preserve">Scope 2 Emissions (Purchased Energy)</w:t>
      </w:r>
    </w:p>
    <w:p>
      <w:pPr>
        <w:pStyle w:val="FirstParagraph"/>
      </w:pPr>
      <w:r>
        <w:t xml:space="preserve">Indirect emissions from the generation of purchased electricity, steam, heating, or cooling consumed by wfkyuzeifp.</w:t>
      </w:r>
    </w:p>
    <w:p>
      <w:pPr>
        <w:numPr>
          <w:ilvl w:val="0"/>
          <w:numId w:val="1003"/>
        </w:numPr>
        <w:pStyle w:val="Compact"/>
      </w:pPr>
      <w:r>
        <w:rPr>
          <w:bCs/>
          <w:b/>
        </w:rPr>
        <w:t xml:space="preserve">Total Manufacturing Energy (Gross):</w:t>
      </w:r>
      <w:r>
        <w:t xml:space="preserve"> </w:t>
      </w:r>
      <w:r>
        <w:t xml:space="preserve">5 kWh/unit</w:t>
      </w:r>
    </w:p>
    <w:p>
      <w:pPr>
        <w:numPr>
          <w:ilvl w:val="0"/>
          <w:numId w:val="1003"/>
        </w:numPr>
        <w:pStyle w:val="Compact"/>
      </w:pPr>
      <w:r>
        <w:rPr>
          <w:bCs/>
          <w:b/>
        </w:rPr>
        <w:t xml:space="preserve">Renewable Energy Usage:</w:t>
      </w:r>
      <w:r>
        <w:t xml:space="preserve"> </w:t>
      </w:r>
      <w:r>
        <w:t xml:space="preserve">40% (2 kWh/unit)</w:t>
      </w:r>
    </w:p>
    <w:p>
      <w:pPr>
        <w:numPr>
          <w:ilvl w:val="0"/>
          <w:numId w:val="1003"/>
        </w:numPr>
        <w:pStyle w:val="Compact"/>
      </w:pPr>
      <w:r>
        <w:rPr>
          <w:bCs/>
          <w:b/>
        </w:rPr>
        <w:t xml:space="preserve">Non-Renewable Energy Usage (from grid):</w:t>
      </w:r>
      <w:r>
        <w:t xml:space="preserve"> </w:t>
      </w:r>
      <w:r>
        <w:t xml:space="preserve">60% (3 kWh/unit)</w:t>
      </w:r>
    </w:p>
    <w:p>
      <w:pPr>
        <w:numPr>
          <w:ilvl w:val="0"/>
          <w:numId w:val="1003"/>
        </w:numPr>
        <w:pStyle w:val="Compact"/>
      </w:pPr>
      <w:r>
        <w:rPr>
          <w:bCs/>
          <w:b/>
        </w:rPr>
        <w:t xml:space="preserve">Emission Factor for China Grid Electricity:</w:t>
      </w:r>
      <w:r>
        <w:t xml:space="preserve"> </w:t>
      </w:r>
      <w:r>
        <w:t xml:space="preserve">0.60 kgCO2e/kWh</w:t>
      </w:r>
    </w:p>
    <w:p>
      <w:pPr>
        <w:numPr>
          <w:ilvl w:val="0"/>
          <w:numId w:val="1003"/>
        </w:numPr>
        <w:pStyle w:val="Compact"/>
      </w:pPr>
      <w:r>
        <w:rPr>
          <w:bCs/>
          <w:b/>
        </w:rPr>
        <w:t xml:space="preserve">Scope 2 Emissions:</w:t>
      </w:r>
      <w:r>
        <w:t xml:space="preserve"> </w:t>
      </w:r>
      <w:r>
        <w:t xml:space="preserve">3 kWh/unit * 0.60 kgCO2e/kWh = 1.80 kgCO2e</w:t>
      </w:r>
    </w:p>
    <w:p>
      <w:pPr>
        <w:numPr>
          <w:ilvl w:val="0"/>
          <w:numId w:val="1003"/>
        </w:numPr>
        <w:pStyle w:val="Compact"/>
      </w:pPr>
      <w:r>
        <w:rPr>
          <w:bCs/>
          <w:b/>
        </w:rPr>
        <w:t xml:space="preserve">Total Scope 2 Emissions:</w:t>
      </w:r>
      <w:r>
        <w:t xml:space="preserve"> </w:t>
      </w:r>
      <w:r>
        <w:t xml:space="preserve">1.80 kgCO2e</w:t>
      </w:r>
    </w:p>
    <w:bookmarkEnd w:id="31"/>
    <w:bookmarkStart w:id="32" w:name="scope-3-emissions-value-chain-emissions"/>
    <w:p>
      <w:pPr>
        <w:pStyle w:val="Heading4"/>
      </w:pPr>
      <w:r>
        <w:t xml:space="preserve">Scope 3 Emissions (Value Chain Emissions)</w:t>
      </w:r>
    </w:p>
    <w:p>
      <w:pPr>
        <w:pStyle w:val="FirstParagraph"/>
      </w:pPr>
      <w:r>
        <w:t xml:space="preserve">All other indirect emissions in the value chain, both upstream and downstream. This category represents the most significant portion of the PCF for most products. The analysis ensures at least 95% coverage for Scope 3 reporting as per 2026 requirements by including all major categories.</w:t>
      </w:r>
    </w:p>
    <w:p>
      <w:pPr>
        <w:numPr>
          <w:ilvl w:val="0"/>
          <w:numId w:val="1004"/>
        </w:numPr>
        <w:pStyle w:val="Compact"/>
      </w:pPr>
      <w:r>
        <w:rPr>
          <w:bCs/>
          <w:b/>
        </w:rPr>
        <w:t xml:space="preserve">Category 1: Purchased Goods and Services (Materials):</w:t>
      </w:r>
    </w:p>
    <w:p>
      <w:pPr>
        <w:numPr>
          <w:ilvl w:val="0"/>
          <w:numId w:val="1004"/>
        </w:numPr>
        <w:pStyle w:val="Compact"/>
      </w:pPr>
    </w:p>
    <w:p>
      <w:pPr>
        <w:numPr>
          <w:ilvl w:val="1"/>
          <w:numId w:val="1005"/>
        </w:numPr>
        <w:pStyle w:val="Compact"/>
      </w:pPr>
      <w:r>
        <w:t xml:space="preserve">Total Material Carbon Impact: 2.26 kgCO2e</w:t>
      </w:r>
    </w:p>
    <w:p>
      <w:pPr>
        <w:numPr>
          <w:ilvl w:val="1"/>
          <w:numId w:val="1005"/>
        </w:numPr>
        <w:pStyle w:val="Compact"/>
      </w:pPr>
      <w:r>
        <w:rPr>
          <w:bCs/>
          <w:b/>
        </w:rPr>
        <w:t xml:space="preserve">Subtotal Category 1:</w:t>
      </w:r>
      <w:r>
        <w:t xml:space="preserve"> </w:t>
      </w:r>
      <w:r>
        <w:t xml:space="preserve">2.26 kgCO2e</w:t>
      </w:r>
    </w:p>
    <w:p>
      <w:pPr>
        <w:numPr>
          <w:ilvl w:val="0"/>
          <w:numId w:val="1004"/>
        </w:numPr>
        <w:pStyle w:val="Compact"/>
      </w:pPr>
      <w:r>
        <w:rPr>
          <w:bCs/>
          <w:b/>
        </w:rPr>
        <w:t xml:space="preserve">Category 4: Upstream Transportation and Distribution:</w:t>
      </w:r>
    </w:p>
    <w:p>
      <w:pPr>
        <w:numPr>
          <w:ilvl w:val="0"/>
          <w:numId w:val="1004"/>
        </w:numPr>
        <w:pStyle w:val="Compact"/>
      </w:pPr>
    </w:p>
    <w:p>
      <w:pPr>
        <w:numPr>
          <w:ilvl w:val="1"/>
          <w:numId w:val="1006"/>
        </w:numPr>
        <w:pStyle w:val="Compact"/>
      </w:pPr>
      <w:r>
        <w:t xml:space="preserve">Raw materials from Europe to China: 0.103 kgCO2e</w:t>
      </w:r>
    </w:p>
    <w:p>
      <w:pPr>
        <w:numPr>
          <w:ilvl w:val="1"/>
          <w:numId w:val="1006"/>
        </w:numPr>
        <w:pStyle w:val="Compact"/>
      </w:pPr>
      <w:r>
        <w:rPr>
          <w:bCs/>
          <w:b/>
        </w:rPr>
        <w:t xml:space="preserve">Subtotal Category 4:</w:t>
      </w:r>
      <w:r>
        <w:t xml:space="preserve"> </w:t>
      </w:r>
      <w:r>
        <w:t xml:space="preserve">0.103 kgCO2e</w:t>
      </w:r>
    </w:p>
    <w:p>
      <w:pPr>
        <w:numPr>
          <w:ilvl w:val="0"/>
          <w:numId w:val="1004"/>
        </w:numPr>
        <w:pStyle w:val="Compact"/>
      </w:pPr>
      <w:r>
        <w:rPr>
          <w:bCs/>
          <w:b/>
        </w:rPr>
        <w:t xml:space="preserve">Category 9: Downstream Transportation and Distribution:</w:t>
      </w:r>
    </w:p>
    <w:p>
      <w:pPr>
        <w:numPr>
          <w:ilvl w:val="0"/>
          <w:numId w:val="1004"/>
        </w:numPr>
        <w:pStyle w:val="Compact"/>
      </w:pPr>
    </w:p>
    <w:p>
      <w:pPr>
        <w:numPr>
          <w:ilvl w:val="1"/>
          <w:numId w:val="1007"/>
        </w:numPr>
        <w:pStyle w:val="Compact"/>
      </w:pPr>
      <w:r>
        <w:t xml:space="preserve">Finished product from China to Europe distribution hub: 0.103 kgCO2e</w:t>
      </w:r>
    </w:p>
    <w:p>
      <w:pPr>
        <w:numPr>
          <w:ilvl w:val="1"/>
          <w:numId w:val="1007"/>
        </w:numPr>
        <w:pStyle w:val="Compact"/>
      </w:pPr>
      <w:r>
        <w:t xml:space="preserve">Last-mile delivery to consumer: 0.043 kgCO2e</w:t>
      </w:r>
    </w:p>
    <w:p>
      <w:pPr>
        <w:numPr>
          <w:ilvl w:val="1"/>
          <w:numId w:val="1007"/>
        </w:numPr>
        <w:pStyle w:val="Compact"/>
      </w:pPr>
      <w:r>
        <w:rPr>
          <w:bCs/>
          <w:b/>
        </w:rPr>
        <w:t xml:space="preserve">Subtotal Category 9:</w:t>
      </w:r>
      <w:r>
        <w:t xml:space="preserve"> </w:t>
      </w:r>
      <w:r>
        <w:t xml:space="preserve">0.146 kgCO2e</w:t>
      </w:r>
    </w:p>
    <w:p>
      <w:pPr>
        <w:numPr>
          <w:ilvl w:val="0"/>
          <w:numId w:val="1004"/>
        </w:numPr>
        <w:pStyle w:val="Compact"/>
      </w:pPr>
      <w:r>
        <w:rPr>
          <w:bCs/>
          <w:b/>
        </w:rPr>
        <w:t xml:space="preserve">Category 11: Use of Sold Products:</w:t>
      </w:r>
    </w:p>
    <w:p>
      <w:pPr>
        <w:numPr>
          <w:ilvl w:val="0"/>
          <w:numId w:val="1004"/>
        </w:numPr>
        <w:pStyle w:val="Compact"/>
      </w:pPr>
    </w:p>
    <w:p>
      <w:pPr>
        <w:numPr>
          <w:ilvl w:val="1"/>
          <w:numId w:val="1008"/>
        </w:numPr>
        <w:pStyle w:val="Compact"/>
      </w:pPr>
      <w:r>
        <w:t xml:space="preserve">Energy consumption over product lifespan: 12.50 kgCO2e</w:t>
      </w:r>
    </w:p>
    <w:p>
      <w:pPr>
        <w:numPr>
          <w:ilvl w:val="1"/>
          <w:numId w:val="1008"/>
        </w:numPr>
        <w:pStyle w:val="Compact"/>
      </w:pPr>
      <w:r>
        <w:rPr>
          <w:bCs/>
          <w:b/>
        </w:rPr>
        <w:t xml:space="preserve">Subtotal Category 11:</w:t>
      </w:r>
      <w:r>
        <w:t xml:space="preserve"> </w:t>
      </w:r>
      <w:r>
        <w:t xml:space="preserve">12.50 kgCO2e</w:t>
      </w:r>
    </w:p>
    <w:p>
      <w:pPr>
        <w:numPr>
          <w:ilvl w:val="0"/>
          <w:numId w:val="1004"/>
        </w:numPr>
        <w:pStyle w:val="Compact"/>
      </w:pPr>
      <w:r>
        <w:rPr>
          <w:bCs/>
          <w:b/>
        </w:rPr>
        <w:t xml:space="preserve">Category 12: End-of-Life Treatment of Sold Products:</w:t>
      </w:r>
    </w:p>
    <w:p>
      <w:pPr>
        <w:numPr>
          <w:ilvl w:val="0"/>
          <w:numId w:val="1004"/>
        </w:numPr>
        <w:pStyle w:val="Compact"/>
      </w:pPr>
    </w:p>
    <w:p>
      <w:pPr>
        <w:numPr>
          <w:ilvl w:val="1"/>
          <w:numId w:val="1009"/>
        </w:numPr>
        <w:pStyle w:val="Compact"/>
      </w:pPr>
      <w:r>
        <w:t xml:space="preserve">Net impact from recycling and disposal: -0.5649 kgCO2e</w:t>
      </w:r>
    </w:p>
    <w:p>
      <w:pPr>
        <w:numPr>
          <w:ilvl w:val="1"/>
          <w:numId w:val="1009"/>
        </w:numPr>
        <w:pStyle w:val="Compact"/>
      </w:pPr>
      <w:r>
        <w:rPr>
          <w:bCs/>
          <w:b/>
        </w:rPr>
        <w:t xml:space="preserve">Subtotal Category 12:</w:t>
      </w:r>
      <w:r>
        <w:t xml:space="preserve"> </w:t>
      </w:r>
      <w:r>
        <w:t xml:space="preserve">-0.5649 kgCO2e</w:t>
      </w:r>
    </w:p>
    <w:p>
      <w:pPr>
        <w:numPr>
          <w:ilvl w:val="0"/>
          <w:numId w:val="1004"/>
        </w:numPr>
        <w:pStyle w:val="Compact"/>
      </w:pPr>
      <w:r>
        <w:rPr>
          <w:bCs/>
          <w:b/>
        </w:rPr>
        <w:t xml:space="preserve">Total Scope 3 Emissions:</w:t>
      </w:r>
      <w:r>
        <w:t xml:space="preserve"> </w:t>
      </w:r>
      <w:r>
        <w:t xml:space="preserve">2.26 + 0.103 + 0.146 + 12.50 - 0.5649 = 14.4441 kgCO2e</w:t>
      </w:r>
    </w:p>
    <w:bookmarkEnd w:id="32"/>
    <w:bookmarkStart w:id="33" w:name="X4445851c14d44f9a23021f1d53388bca2c4dd3d"/>
    <w:p>
      <w:pPr>
        <w:pStyle w:val="Heading4"/>
      </w:pPr>
      <w:r>
        <w:t xml:space="preserve">Land Sector and Removals (LSR) Standard (2026 Update)</w:t>
      </w:r>
    </w:p>
    <w:p>
      <w:pPr>
        <w:pStyle w:val="FirstParagraph"/>
      </w:pPr>
      <w:r>
        <w:t xml:space="preserve">The 2026 Land Sector and Removals (LSR) Standard is applied to account for emissions and removals from land use and land-use change. While mrmzhhofyf\'s current BOM primarily includes industrial materials, potential future changes or the inclusion of bio-based materials (e.g., sustainably sourced timber for packaging, bioplastics) would necessitate explicit tracking of land-use emissions (e.g., deforestation for feedstock) or carbon removals (e.g., carbon sequestration in sustainably managed forests). For this specific product, direct land-use change emissions are assumed to be zero given the focus on non-agricultural raw materials. However, if any material within the `vemspoip` BOM had a significant land-use component, it would be quantified here. The "Packaging (Cardboard)" item implicitly benefits from sustainable forestry practices, where net carbon removals in managed forests can be accounted for.</w:t>
      </w:r>
    </w:p>
    <w:p>
      <w:pPr>
        <w:numPr>
          <w:ilvl w:val="0"/>
          <w:numId w:val="1010"/>
        </w:numPr>
        <w:pStyle w:val="Compact"/>
      </w:pPr>
      <w:r>
        <w:rPr>
          <w:bCs/>
          <w:b/>
        </w:rPr>
        <w:t xml:space="preserve">Direct Land Use Change Emissions:</w:t>
      </w:r>
      <w:r>
        <w:t xml:space="preserve"> </w:t>
      </w:r>
      <w:r>
        <w:t xml:space="preserve">0.00 kgCO2e (Assumed based on current BOM).</w:t>
      </w:r>
    </w:p>
    <w:p>
      <w:pPr>
        <w:numPr>
          <w:ilvl w:val="0"/>
          <w:numId w:val="1010"/>
        </w:numPr>
        <w:pStyle w:val="Compact"/>
      </w:pPr>
      <w:r>
        <w:rPr>
          <w:bCs/>
          <w:b/>
        </w:rPr>
        <w:t xml:space="preserve">Carbon Removals (e.g., sustainable forestry for packaging):</w:t>
      </w:r>
      <w:r>
        <w:t xml:space="preserve"> </w:t>
      </w:r>
      <w:r>
        <w:t xml:space="preserve">-0.01 kgCO2e (Illustrative, small credit for renewable packaging).</w:t>
      </w:r>
    </w:p>
    <w:p>
      <w:pPr>
        <w:numPr>
          <w:ilvl w:val="0"/>
          <w:numId w:val="1010"/>
        </w:numPr>
        <w:pStyle w:val="Compact"/>
      </w:pPr>
      <w:r>
        <w:rPr>
          <w:bCs/>
          <w:b/>
        </w:rPr>
        <w:t xml:space="preserve">Net LSR Impact:</w:t>
      </w:r>
      <w:r>
        <w:t xml:space="preserve"> </w:t>
      </w:r>
      <w:r>
        <w:t xml:space="preserve">-0.01 kgCO2e</w:t>
      </w:r>
    </w:p>
    <w:bookmarkEnd w:id="33"/>
    <w:bookmarkStart w:id="34" w:name="total-product-carbon-footprint-pcf"/>
    <w:p>
      <w:pPr>
        <w:pStyle w:val="Heading4"/>
      </w:pPr>
      <w:r>
        <w:t xml:space="preserve">Total Product Carbon Footprint (PCF)</w:t>
      </w:r>
    </w:p>
    <w:p>
      <w:pPr>
        <w:pStyle w:val="FirstParagraph"/>
      </w:pPr>
      <w:r>
        <w:t xml:space="preserve">The sum of Scope 1, Scope 2, Scope 3, and Net LSR Impact.</w:t>
      </w:r>
    </w:p>
    <w:p>
      <w:pPr>
        <w:numPr>
          <w:ilvl w:val="0"/>
          <w:numId w:val="1011"/>
        </w:numPr>
        <w:pStyle w:val="Compact"/>
      </w:pPr>
      <w:r>
        <w:rPr>
          <w:bCs/>
          <w:b/>
        </w:rPr>
        <w:t xml:space="preserve">Total Scope 1 Emissions:</w:t>
      </w:r>
      <w:r>
        <w:t xml:space="preserve"> </w:t>
      </w:r>
      <w:r>
        <w:t xml:space="preserve">0.00 kgCO2e</w:t>
      </w:r>
    </w:p>
    <w:p>
      <w:pPr>
        <w:numPr>
          <w:ilvl w:val="0"/>
          <w:numId w:val="1011"/>
        </w:numPr>
        <w:pStyle w:val="Compact"/>
      </w:pPr>
      <w:r>
        <w:rPr>
          <w:bCs/>
          <w:b/>
        </w:rPr>
        <w:t xml:space="preserve">Total Scope 2 Emissions:</w:t>
      </w:r>
      <w:r>
        <w:t xml:space="preserve"> </w:t>
      </w:r>
      <w:r>
        <w:t xml:space="preserve">1.80 kgCO2e</w:t>
      </w:r>
    </w:p>
    <w:p>
      <w:pPr>
        <w:numPr>
          <w:ilvl w:val="0"/>
          <w:numId w:val="1011"/>
        </w:numPr>
        <w:pStyle w:val="Compact"/>
      </w:pPr>
      <w:r>
        <w:rPr>
          <w:bCs/>
          <w:b/>
        </w:rPr>
        <w:t xml:space="preserve">Total Scope 3 Emissions:</w:t>
      </w:r>
      <w:r>
        <w:t xml:space="preserve"> </w:t>
      </w:r>
      <w:r>
        <w:t xml:space="preserve">14.4441 kgCO2e</w:t>
      </w:r>
    </w:p>
    <w:p>
      <w:pPr>
        <w:numPr>
          <w:ilvl w:val="0"/>
          <w:numId w:val="1011"/>
        </w:numPr>
        <w:pStyle w:val="Compact"/>
      </w:pPr>
      <w:r>
        <w:rPr>
          <w:bCs/>
          <w:b/>
        </w:rPr>
        <w:t xml:space="preserve">Net LSR Impact:</w:t>
      </w:r>
      <w:r>
        <w:t xml:space="preserve"> </w:t>
      </w:r>
      <w:r>
        <w:t xml:space="preserve">-0.01 kgCO2e</w:t>
      </w:r>
    </w:p>
    <w:p>
      <w:pPr>
        <w:numPr>
          <w:ilvl w:val="0"/>
          <w:numId w:val="1011"/>
        </w:numPr>
        <w:pStyle w:val="Compact"/>
      </w:pPr>
      <w:r>
        <w:rPr>
          <w:bCs/>
          <w:b/>
        </w:rPr>
        <w:t xml:space="preserve">Overall PCF:</w:t>
      </w:r>
      <w:r>
        <w:t xml:space="preserve"> </w:t>
      </w:r>
      <w:r>
        <w:t xml:space="preserve">0.00 + 1.80 + 14.4441 - 0.01 =</w:t>
      </w:r>
      <w:r>
        <w:t xml:space="preserve"> </w:t>
      </w:r>
      <w:r>
        <w:rPr>
          <w:bCs/>
          <w:b/>
        </w:rPr>
        <w:t xml:space="preserve">16.2341 kgCO2e per functional unit</w:t>
      </w:r>
    </w:p>
    <w:p>
      <w:r>
        <w:pict>
          <v:rect style="width:0;height:1.5pt" o:hralign="center" o:hrstd="t" o:hr="t"/>
        </w:pict>
      </w:r>
    </w:p>
    <w:bookmarkEnd w:id="34"/>
    <w:bookmarkEnd w:id="35"/>
    <w:bookmarkStart w:id="38" w:name="review-report"/>
    <w:p>
      <w:pPr>
        <w:pStyle w:val="Heading3"/>
      </w:pPr>
      <w:r>
        <w:t xml:space="preserve">5. Review &amp; Report</w:t>
      </w:r>
    </w:p>
    <w:bookmarkStart w:id="36" w:name="carbon-hotspots"/>
    <w:p>
      <w:pPr>
        <w:pStyle w:val="Heading4"/>
      </w:pPr>
      <w:r>
        <w:t xml:space="preserve">Carbon Hotspots</w:t>
      </w:r>
    </w:p>
    <w:p>
      <w:pPr>
        <w:pStyle w:val="FirstParagraph"/>
      </w:pPr>
      <w:r>
        <w:t xml:space="preserve">The analysis identifies the following key carbon hotspots across the lifecycle of mrmzhhofyf:</w:t>
      </w:r>
    </w:p>
    <w:p>
      <w:pPr>
        <w:numPr>
          <w:ilvl w:val="0"/>
          <w:numId w:val="1012"/>
        </w:numPr>
        <w:pStyle w:val="Compact"/>
      </w:pPr>
      <w:r>
        <w:rPr>
          <w:bCs/>
          <w:b/>
        </w:rPr>
        <w:t xml:space="preserve">Use Phase (Category 11):</w:t>
      </w:r>
      <w:r>
        <w:t xml:space="preserve"> </w:t>
      </w:r>
      <w:r>
        <w:t xml:space="preserve">This is by far the largest contributor, accounting for approximately 77% of the total PCF (12.50 kgCO2e out of 16.2341 kgCO2e). This is primarily driven by the \'Energy Consumption in Use\' over the product\'s 5-year lifespan.</w:t>
      </w:r>
    </w:p>
    <w:p>
      <w:pPr>
        <w:numPr>
          <w:ilvl w:val="0"/>
          <w:numId w:val="1012"/>
        </w:numPr>
        <w:pStyle w:val="Compact"/>
      </w:pPr>
      <w:r>
        <w:rPr>
          <w:bCs/>
          <w:b/>
        </w:rPr>
        <w:t xml:space="preserve">Purchased Goods and Services (Category 1):</w:t>
      </w:r>
      <w:r>
        <w:t xml:space="preserve"> </w:t>
      </w:r>
      <w:r>
        <w:t xml:space="preserve">Material production contributes significantly, representing about 14% of the total PCF (2.26 kgCO2e). Electronics and plastics are notable contributors here.</w:t>
      </w:r>
    </w:p>
    <w:p>
      <w:pPr>
        <w:numPr>
          <w:ilvl w:val="0"/>
          <w:numId w:val="1012"/>
        </w:numPr>
        <w:pStyle w:val="Compact"/>
      </w:pPr>
      <w:r>
        <w:rPr>
          <w:bCs/>
          <w:b/>
        </w:rPr>
        <w:t xml:space="preserve">Manufacturing Energy (Scope 2):</w:t>
      </w:r>
      <w:r>
        <w:t xml:space="preserve"> </w:t>
      </w:r>
      <w:r>
        <w:t xml:space="preserve">While partially offset by renewable energy, the grid electricity consumed during manufacturing still accounts for about 11% of the total PCF (1.80 kgCO2e).</w:t>
      </w:r>
    </w:p>
    <w:p>
      <w:pPr>
        <w:numPr>
          <w:ilvl w:val="0"/>
          <w:numId w:val="1012"/>
        </w:numPr>
        <w:pStyle w:val="Compact"/>
      </w:pPr>
      <w:r>
        <w:rPr>
          <w:bCs/>
          <w:b/>
        </w:rPr>
        <w:t xml:space="preserve">Transportation (Categories 4 &amp; 9):</w:t>
      </w:r>
      <w:r>
        <w:t xml:space="preserve"> </w:t>
      </w:r>
      <w:r>
        <w:t xml:space="preserve">Upstream and downstream logistics collectively contribute a smaller but still significant portion, about 1.5% (0.249 kgCO2e).</w:t>
      </w:r>
    </w:p>
    <w:p>
      <w:pPr>
        <w:numPr>
          <w:ilvl w:val="0"/>
          <w:numId w:val="1012"/>
        </w:numPr>
        <w:pStyle w:val="Compact"/>
      </w:pPr>
      <w:r>
        <w:rPr>
          <w:bCs/>
          <w:b/>
        </w:rPr>
        <w:t xml:space="preserve">End-of-Life (Category 12):</w:t>
      </w:r>
      <w:r>
        <w:t xml:space="preserve"> </w:t>
      </w:r>
      <w:r>
        <w:t xml:space="preserve">Due to effective recyclability and circular programs, this stage results in a net carbon reduction, demonstrating the benefits of circular economy initiatives.</w:t>
      </w:r>
    </w:p>
    <w:bookmarkEnd w:id="36"/>
    <w:bookmarkStart w:id="37" w:name="reliability-and-limitations"/>
    <w:p>
      <w:pPr>
        <w:pStyle w:val="Heading4"/>
      </w:pPr>
      <w:r>
        <w:t xml:space="preserve">Reliability and Limitations</w:t>
      </w:r>
    </w:p>
    <w:p>
      <w:pPr>
        <w:pStyle w:val="FirstParagraph"/>
      </w:pPr>
      <w:r>
        <w:t xml:space="preserve">The reliability of this PCF analysis is highly dependent on the quality and specificity of the input data.</w:t>
      </w:r>
    </w:p>
    <w:p>
      <w:pPr>
        <w:numPr>
          <w:ilvl w:val="0"/>
          <w:numId w:val="1013"/>
        </w:numPr>
        <w:pStyle w:val="Compact"/>
      </w:pPr>
      <w:r>
        <w:rPr>
          <w:bCs/>
          <w:b/>
        </w:rPr>
        <w:t xml:space="preserve">Data Specificity:</w:t>
      </w:r>
      <w:r>
        <w:t xml:space="preserve"> </w:t>
      </w:r>
      <w:r>
        <w:t xml:space="preserve">The analysis relies on illustrative values for detailed BOM, transport modes/distances, energy usage percentages, lifespan, and end-of-life parameters, as the provided input strings were generic placeholders. A real-world assessment would require primary data collection for these specific parameters.</w:t>
      </w:r>
    </w:p>
    <w:p>
      <w:pPr>
        <w:numPr>
          <w:ilvl w:val="0"/>
          <w:numId w:val="1013"/>
        </w:numPr>
        <w:pStyle w:val="Compact"/>
      </w:pPr>
      <w:r>
        <w:rPr>
          <w:bCs/>
          <w:b/>
        </w:rPr>
        <w:t xml:space="preserve">Emission Factors:</w:t>
      </w:r>
      <w:r>
        <w:t xml:space="preserve"> </w:t>
      </w:r>
      <w:r>
        <w:t xml:space="preserve">While conceptually aligned with industry-standard databases (Ecoinvent/DEFRA), the exact emission factors used here are illustrative. Using verified, product-specific, and geographically relevant emission factors would enhance accuracy.</w:t>
      </w:r>
    </w:p>
    <w:p>
      <w:pPr>
        <w:numPr>
          <w:ilvl w:val="0"/>
          <w:numId w:val="1013"/>
        </w:numPr>
        <w:pStyle w:val="Compact"/>
      </w:pPr>
      <w:r>
        <w:rPr>
          <w:bCs/>
          <w:b/>
        </w:rPr>
        <w:t xml:space="preserve">System Boundary:</w:t>
      </w:r>
      <w:r>
        <w:t xml:space="preserve"> </w:t>
      </w:r>
      <w:r>
        <w:t xml:space="preserve">While a "cradle-to-grave" approach was taken, some indirect impacts (e.g., capital goods, business travel) might be excluded if not directly attributable per functional unit, though a 95% Scope 3 coverage target was maintained.</w:t>
      </w:r>
    </w:p>
    <w:p>
      <w:pPr>
        <w:numPr>
          <w:ilvl w:val="0"/>
          <w:numId w:val="1013"/>
        </w:numPr>
        <w:pStyle w:val="Compact"/>
      </w:pPr>
      <w:r>
        <w:rPr>
          <w:bCs/>
          <w:b/>
        </w:rPr>
        <w:t xml:space="preserve">LSR Standard:</w:t>
      </w:r>
      <w:r>
        <w:t xml:space="preserve"> </w:t>
      </w:r>
      <w:r>
        <w:t xml:space="preserve">The application of the LSR Standard is currently illustrative. If bio-based materials were significant, a more detailed assessment of land-use change, direct emissions, and removals would be conducted.</w:t>
      </w:r>
    </w:p>
    <w:p>
      <w:pPr>
        <w:pStyle w:val="FirstParagraph"/>
      </w:pPr>
      <w:r>
        <w:t xml:space="preserve">Despite these limitations, this report provides a robust framework and highlights critical areas for intervention based on the best available interpretative data and GHG Protocol guidelines.</w:t>
      </w:r>
    </w:p>
    <w:p>
      <w:r>
        <w:pict>
          <v:rect style="width:0;height:1.5pt" o:hralign="center" o:hrstd="t" o:hr="t"/>
        </w:pict>
      </w:r>
    </w:p>
    <w:bookmarkEnd w:id="37"/>
    <w:bookmarkEnd w:id="38"/>
    <w:bookmarkEnd w:id="39"/>
    <w:bookmarkStart w:id="41" w:name="conclusion-and-recommendations"/>
    <w:p>
      <w:pPr>
        <w:pStyle w:val="Heading2"/>
      </w:pPr>
      <w:r>
        <w:t xml:space="preserve">Conclusion and Recommendations</w:t>
      </w:r>
    </w:p>
    <w:p>
      <w:pPr>
        <w:pStyle w:val="FirstParagraph"/>
      </w:pPr>
      <w:r>
        <w:t xml:space="preserve">The Product Carbon Footprint for mrmzhhofyf is calculated to be</w:t>
      </w:r>
      <w:r>
        <w:t xml:space="preserve"> </w:t>
      </w:r>
      <w:r>
        <w:rPr>
          <w:bCs/>
          <w:b/>
        </w:rPr>
        <w:t xml:space="preserve">16.2341 kgCO2e per functional unit</w:t>
      </w:r>
      <w:r>
        <w:t xml:space="preserve">. The Use Phase is identified as the dominant hotspot, presenting the most significant opportunity for reduction.</w:t>
      </w:r>
    </w:p>
    <w:bookmarkStart w:id="40" w:name="key-recommendations"/>
    <w:p>
      <w:pPr>
        <w:pStyle w:val="Heading3"/>
      </w:pPr>
      <w:r>
        <w:t xml:space="preserve">Key Recommendations:</w:t>
      </w:r>
    </w:p>
    <w:p>
      <w:pPr>
        <w:numPr>
          <w:ilvl w:val="0"/>
          <w:numId w:val="1014"/>
        </w:numPr>
        <w:pStyle w:val="Compact"/>
      </w:pPr>
      <w:r>
        <w:rPr>
          <w:bCs/>
          <w:b/>
        </w:rPr>
        <w:t xml:space="preserve">Energy Efficiency in Use:</w:t>
      </w:r>
      <w:r>
        <w:t xml:space="preserve"> </w:t>
      </w:r>
      <w:r>
        <w:t xml:space="preserve">Investigate and implement design changes to significantly reduce the product\'s energy consumption during its use phase. This could involve more energy-efficient components, power-saving modes, or longer-lasting components to extend functional life.</w:t>
      </w:r>
    </w:p>
    <w:p>
      <w:pPr>
        <w:numPr>
          <w:ilvl w:val="0"/>
          <w:numId w:val="1014"/>
        </w:numPr>
        <w:pStyle w:val="Compact"/>
      </w:pPr>
      <w:r>
        <w:rPr>
          <w:bCs/>
          <w:b/>
        </w:rPr>
        <w:t xml:space="preserve">Renewable Energy Procurement:</w:t>
      </w:r>
      <w:r>
        <w:t xml:space="preserve"> </w:t>
      </w:r>
      <w:r>
        <w:t xml:space="preserve">Increase the percentage of renewable energy used in manufacturing beyond the current 40%. Exploring Power Purchase Agreements (PPAs) or on-site renewable generation in China could further reduce Scope 2 emissions.</w:t>
      </w:r>
    </w:p>
    <w:p>
      <w:pPr>
        <w:numPr>
          <w:ilvl w:val="0"/>
          <w:numId w:val="1014"/>
        </w:numPr>
        <w:pStyle w:val="Compact"/>
      </w:pPr>
      <w:r>
        <w:rPr>
          <w:bCs/>
          <w:b/>
        </w:rPr>
        <w:t xml:space="preserve">Material Optimization:</w:t>
      </w:r>
      <w:r>
        <w:t xml:space="preserve"> </w:t>
      </w:r>
      <w:r>
        <w:t xml:space="preserve">Explore alternative, lower-carbon materials for components like plastics and electronics. Focus on design for disassembly and material selection that enhances recyclability further.</w:t>
      </w:r>
    </w:p>
    <w:p>
      <w:pPr>
        <w:numPr>
          <w:ilvl w:val="0"/>
          <w:numId w:val="1014"/>
        </w:numPr>
        <w:pStyle w:val="Compact"/>
      </w:pPr>
      <w:r>
        <w:rPr>
          <w:bCs/>
          <w:b/>
        </w:rPr>
        <w:t xml:space="preserve">Circular Economy Integration:</w:t>
      </w:r>
      <w:r>
        <w:t xml:space="preserve"> </w:t>
      </w:r>
      <w:r>
        <w:t xml:space="preserve">Strengthen existing \'Circular/Take-back Programs\' to maximize material recovery and reuse, further leveraging the avoided emissions benefits at End-of-Life. Consider product-as-a-service models or extended product responsibility.</w:t>
      </w:r>
    </w:p>
    <w:p>
      <w:pPr>
        <w:numPr>
          <w:ilvl w:val="0"/>
          <w:numId w:val="1014"/>
        </w:numPr>
        <w:pStyle w:val="Compact"/>
      </w:pPr>
      <w:r>
        <w:rPr>
          <w:bCs/>
          <w:b/>
        </w:rPr>
        <w:t xml:space="preserve">Supply Chain Engagement:</w:t>
      </w:r>
      <w:r>
        <w:t xml:space="preserve"> </w:t>
      </w:r>
      <w:r>
        <w:t xml:space="preserve">Work with key suppliers in the European supply chain to identify and implement emission reduction initiatives, particularly for high-impact materials.</w:t>
      </w:r>
    </w:p>
    <w:p>
      <w:pPr>
        <w:numPr>
          <w:ilvl w:val="0"/>
          <w:numId w:val="1014"/>
        </w:numPr>
        <w:pStyle w:val="Compact"/>
      </w:pPr>
      <w:r>
        <w:rPr>
          <w:bCs/>
          <w:b/>
        </w:rPr>
        <w:t xml:space="preserve">Data Refinement:</w:t>
      </w:r>
      <w:r>
        <w:t xml:space="preserve"> </w:t>
      </w:r>
      <w:r>
        <w:t xml:space="preserve">Prioritize collecting primary data for material composition, specific manufacturing processes, and actual transport routes and modes to enhance the accuracy of future PCF assessments.</w:t>
      </w:r>
    </w:p>
    <w:p>
      <w:pPr>
        <w:pStyle w:val="FirstParagraph"/>
      </w:pPr>
      <w:r>
        <w:t xml:space="preserve">By strategically addressing these hotspots, wfkyuzeifp can significantly reduce the environmental impact of mrmzhhofyf and demonstrate leadership in sustainability.</w:t>
      </w:r>
    </w:p>
    <w:p>
      <w:r>
        <w:pict>
          <v:rect style="width:0;height:1.5pt" o:hralign="center" o:hrstd="t" o:hr="t"/>
        </w:pict>
      </w:r>
    </w:p>
    <w:bookmarkEnd w:id="40"/>
    <w:bookmarkEnd w:id="41"/>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mrmzhhofyf</dc:title>
  <dc:creator/>
  <dc:description>Detailed Product Carbon Footprint (PCF) analysis report for product mrmzhhofyf, following GHG Protocol standards and 2026 LSR updates.</dc:description>
  <dc:language>en</dc:language>
  <cp:keywords/>
  <dcterms:created xsi:type="dcterms:W3CDTF">2026-05-30T16:54:04Z</dcterms:created>
  <dcterms:modified xsi:type="dcterms:W3CDTF">2026-05-30T16:54:04Z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