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mrevzfrkld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mrevzfrkld</w:t>
      </w:r>
    </w:p>
    <w:p>
      <w:pPr>
        <w:pStyle w:val="BodyText"/>
      </w:pPr>
      <w:r>
        <w:rPr>
          <w:bCs/>
          <w:b/>
        </w:rPr>
        <w:t xml:space="preserve">Company:</w:t>
      </w:r>
      <w:r>
        <w:t xml:space="preserve"> </w:t>
      </w:r>
      <w:r>
        <w:t xml:space="preserve">ehdtvmpgtf</w:t>
      </w:r>
    </w:p>
    <w:p>
      <w:pPr>
        <w:pStyle w:val="BodyText"/>
      </w:pPr>
      <w:r>
        <w:rPr>
          <w:bCs/>
          <w:b/>
        </w:rPr>
        <w:t xml:space="preserve">Senior Sustainability Consultant:</w:t>
      </w:r>
      <w:r>
        <w:t xml:space="preserve"> </w:t>
      </w:r>
      <w:r>
        <w:t xml:space="preserve">jurffuypxh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w:t>
      </w:r>
      <w:r>
        <w:t xml:space="preserve"> </w:t>
      </w:r>
      <w:r>
        <w:t xml:space="preserve">actual emissions may vary depending on specific operational details and data precision.</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25, 2026</w:t>
      </w:r>
    </w:p>
    <w:p>
      <w:pPr>
        <w:pStyle w:val="BodyText"/>
      </w:pPr>
      <w:r>
        <w:rPr>
          <w:bCs/>
          <w:b/>
        </w:rPr>
        <w:t xml:space="preserve">Product:</w:t>
      </w:r>
      <w:r>
        <w:t xml:space="preserve"> </w:t>
      </w:r>
      <w:r>
        <w:t xml:space="preserve">mrevzfrkld</w:t>
      </w:r>
    </w:p>
    <w:p>
      <w:pPr>
        <w:pStyle w:val="BodyText"/>
      </w:pPr>
      <w:r>
        <w:rPr>
          <w:bCs/>
          <w:b/>
        </w:rPr>
        <w:t xml:space="preserve">Company:</w:t>
      </w:r>
      <w:r>
        <w:t xml:space="preserve"> </w:t>
      </w:r>
      <w:r>
        <w:t xml:space="preserve">ehdtvmpgtf</w:t>
      </w:r>
    </w:p>
    <w:p>
      <w:pPr>
        <w:pStyle w:val="BodyText"/>
      </w:pPr>
      <w:r>
        <w:rPr>
          <w:bCs/>
          <w:b/>
        </w:rPr>
        <w:t xml:space="preserve">Senior Sustainability Consultant:</w:t>
      </w:r>
      <w:r>
        <w:t xml:space="preserve"> </w:t>
      </w:r>
      <w:r>
        <w:t xml:space="preserve">jurffuypxh</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\'mrevzfrkld\' manufactured by \'ehdtvmpgtf\'.</w:t>
      </w:r>
      <w:r>
        <w:t xml:space="preserve"> </w:t>
      </w:r>
      <w:r>
        <w:t xml:space="preserve">The analysis adheres to the GHG Protocol accounting standard, incorporating the 2026 Land Sector and Removals (LSR) update, and aims for at least 95% coverage for Scope 3 emissions.</w:t>
      </w:r>
      <w:r>
        <w:t xml:space="preserve"> </w:t>
      </w:r>
      <w:r>
        <w:t xml:space="preserve">The PCF provides a comprehensive understanding of the greenhouse gas emissions associated with the product\'s entire lifecycle, from raw material extraction to end-of-life.</w:t>
      </w:r>
      <w:r>
        <w:t xml:space="preserve"> </w:t>
      </w:r>
      <w:r>
        <w:t xml:space="preserve">Key findings highlight significant emission hotspots across the supply chain, production, use phase, and end-of-life stages, offering \'ehdtvmpgtf\' actionable insights for targeted decarbonization efforts.</w:t>
      </w:r>
      <w:r>
        <w:t xml:space="preserve"> </w:t>
      </w:r>
      <w:r>
        <w:t xml:space="preserve">The total carbon footprint is calculated in CO2e per functional unit of 1.0 unit.</w:t>
      </w:r>
    </w:p>
    <w:p>
      <w:r>
        <w:pict>
          <v:rect style="width:0;height:1.5pt" o:hralign="center" o:hrstd="t" o:hr="t"/>
        </w:pict>
      </w:r>
    </w:p>
    <w:bookmarkEnd w:id="22"/>
    <w:bookmarkStart w:id="42" w:name="methodology-ghg-protocol-pcf-analysis"/>
    <w:p>
      <w:pPr>
        <w:pStyle w:val="Heading2"/>
      </w:pPr>
      <w:r>
        <w:t xml:space="preserve">Methodology: GHG Protocol PCF Analysis</w:t>
      </w:r>
    </w:p>
    <w:p>
      <w:pPr>
        <w:pStyle w:val="FirstParagraph"/>
      </w:pPr>
      <w:r>
        <w:t xml:space="preserve">The Product Carbon Footprint (PCF) analysis for \'mrevzfrkld\' followed a systematic five-step methodology, fully compliant with the GHG Protocol\'s Product Standard.</w:t>
      </w:r>
      <w:r>
        <w:t xml:space="preserve"> </w:t>
      </w:r>
      <w:r>
        <w:t xml:space="preserve">The assessment employed industry-standard emission factors (e.g., from Ecoinvent/DEFRA equivalents where specific data was not available) to ensure robustness and comparability.</w:t>
      </w:r>
      <w:r>
        <w:t xml:space="preserve"> </w:t>
      </w:r>
      <w:r>
        <w:t xml:space="preserve">Emissions are categorized into Scope 1 (direct), Scope 2 (purchased energy), and Scope 3 (value chain) for transparent reporting. The 2026 Land Sector and Removals (LSR) Standard has been considered, and Scope 3 reporting achieved over 95%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\'mrevzfrkld\'.</w:t>
      </w:r>
    </w:p>
    <w:p>
      <w:pPr>
        <w:numPr>
          <w:ilvl w:val="0"/>
          <w:numId w:val="1001"/>
        </w:numPr>
        <w:pStyle w:val="Compact"/>
      </w:pPr>
      <w:r>
        <w:rPr>
          <w:bCs/>
          <w:b/>
        </w:rPr>
        <w:t xml:space="preserve">System Boundary:</w:t>
      </w:r>
      <w:r>
        <w:t xml:space="preserve"> </w:t>
      </w:r>
      <w:r>
        <w:t xml:space="preserve">Cradle-to-grave. While the primary production boundary for direct operational control is "factory_gate", the analysis extends to cover the full lifecycle including material acquisition, manufacturing, transportation, use phase, and end-of-life, as required for a comprehensive PCF. This ensures all relevant Scope 3 emissions are captured.</w:t>
      </w:r>
    </w:p>
    <w:p>
      <w:pPr>
        <w:numPr>
          <w:ilvl w:val="0"/>
          <w:numId w:val="1001"/>
        </w:numPr>
        <w:pStyle w:val="Compact"/>
      </w:pPr>
      <w:r>
        <w:rPr>
          <w:bCs/>
          <w:b/>
        </w:rPr>
        <w:t xml:space="preserve">Geographic Scope:</w:t>
      </w:r>
      <w:r>
        <w:t xml:space="preserve"> </w:t>
      </w:r>
      <w:r>
        <w:t xml:space="preserve">Final Production Country: China; Supply Chain Focus: Europe Focused (considering primary distribution channels and end-user markets).</w:t>
      </w:r>
    </w:p>
    <w:p>
      <w:pPr>
        <w:numPr>
          <w:ilvl w:val="0"/>
          <w:numId w:val="1001"/>
        </w:numPr>
        <w:pStyle w:val="Compact"/>
      </w:pPr>
      <w:r>
        <w:rPr>
          <w:bCs/>
          <w:b/>
        </w:rPr>
        <w:t xml:space="preserve">Allocation:</w:t>
      </w:r>
      <w:r>
        <w:t xml:space="preserve"> </w:t>
      </w:r>
      <w:r>
        <w:t xml:space="preserve">Where shared processes occur, mass-based or economic allocation methods are applied proportionally to the \'mrevzfrkld\' product system. For direct processes, emissions are attributed entirely to the product.</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phase involved mapping all stages of \'mrevzfrkld\' lifecycle and collecting specific data points for each. Due to the nature of the request, specific placeholder values have been used as illustrative examples for a "Smart Sensor Unit".</w:t>
      </w:r>
      <w:r>
        <w:t xml:space="preserve"> </w:t>
      </w:r>
      <w:r>
        <w:t xml:space="preserve">Primary data (e.g., actual energy consumption at the factory) is preferred; however, where unavailable, high-quality secondary data from reputable databases (such as Ecoinvent, DEFRA, or similar regional databases) is utilized.</w:t>
      </w:r>
    </w:p>
    <w:bookmarkStart w:id="24" w:name="X04088cc7b89314b9eee93521775a6ee58b3539e"/>
    <w:p>
      <w:pPr>
        <w:pStyle w:val="Heading4"/>
      </w:pPr>
      <w:r>
        <w:t xml:space="preserve">Detailed Bill of Materials (BOM) for \'mrevzfrkld\' (tgmdnxuf - Simulated Data)</w:t>
      </w:r>
    </w:p>
    <w:p>
      <w:pPr>
        <w:pStyle w:val="FirstParagraph"/>
      </w:pPr>
      <w:r>
        <w:t xml:space="preserve">The following table provides a breakdown of the materials used in \'mrevzfrkld\'. The "Emission Factor" and "Total Carbon" columns are illustrative and derived using general industry averages for similar materials, as specific data for \'tgmdnxuf\' was not provided. These factors represent cradle-to-gate emissions for the raw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 (Simulated)</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Casing</w:t>
            </w:r>
          </w:p>
        </w:tc>
        <w:tc>
          <w:tcPr/>
          <w:p>
            <w:pPr>
              <w:pStyle w:val="Compact"/>
              <w:jc w:val="left"/>
            </w:pPr>
            <w:r>
              <w:t xml:space="preserve">Plastics</w:t>
            </w:r>
          </w:p>
        </w:tc>
        <w:tc>
          <w:tcPr/>
          <w:p>
            <w:pPr>
              <w:pStyle w:val="Compact"/>
              <w:jc w:val="left"/>
            </w:pPr>
            <w:r>
              <w:t xml:space="preserve">Plastic 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0.180</w:t>
            </w:r>
          </w:p>
        </w:tc>
      </w:tr>
      <w:tr>
        <w:tc>
          <w:tcPr/>
          <w:p>
            <w:pPr>
              <w:pStyle w:val="Compact"/>
              <w:jc w:val="left"/>
            </w:pPr>
            <w:r>
              <w:t xml:space="preserve">M003</w:t>
            </w:r>
          </w:p>
        </w:tc>
        <w:tc>
          <w:tcPr/>
          <w:p>
            <w:pPr>
              <w:pStyle w:val="Compact"/>
              <w:jc w:val="left"/>
            </w:pPr>
            <w:r>
              <w:t xml:space="preserve">Copper Wire/Traces</w:t>
            </w:r>
          </w:p>
        </w:tc>
        <w:tc>
          <w:tcPr/>
          <w:p>
            <w:pPr>
              <w:pStyle w:val="Compact"/>
              <w:jc w:val="left"/>
            </w:pPr>
            <w:r>
              <w:t xml:space="preserve">Metals</w:t>
            </w:r>
          </w:p>
        </w:tc>
        <w:tc>
          <w:tcPr/>
          <w:p>
            <w:pPr>
              <w:pStyle w:val="Compact"/>
              <w:jc w:val="left"/>
            </w:pPr>
            <w:r>
              <w:t xml:space="preserve">Copper Mining &amp; Refining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0.020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2.500</w:t>
            </w:r>
          </w:p>
        </w:tc>
      </w:tr>
      <w:tr>
        <w:tc>
          <w:tcPr/>
          <w:p>
            <w:pPr>
              <w:pStyle w:val="Compact"/>
              <w:jc w:val="left"/>
            </w:pPr>
            <w:r>
              <w:t xml:space="preserve">M005</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0.020</w:t>
            </w:r>
          </w:p>
        </w:tc>
      </w:tr>
      <w:tr>
        <w:tc>
          <w:tcPr/>
          <w:p>
            <w:pPr>
              <w:pStyle w:val="Compact"/>
              <w:jc w:val="left"/>
            </w:pPr>
            <w:r>
              <w:t xml:space="preserve">M006</w:t>
            </w:r>
          </w:p>
        </w:tc>
        <w:tc>
          <w:tcPr/>
          <w:p>
            <w:pPr>
              <w:pStyle w:val="Compact"/>
              <w:jc w:val="left"/>
            </w:pPr>
            <w:r>
              <w:t xml:space="preserve">Mixed Electronics (Resistors, Capacitors)</w:t>
            </w:r>
          </w:p>
        </w:tc>
        <w:tc>
          <w:tcPr/>
          <w:p>
            <w:pPr>
              <w:pStyle w:val="Compact"/>
              <w:jc w:val="left"/>
            </w:pPr>
            <w:r>
              <w:t xml:space="preserve">Electronics</w:t>
            </w:r>
          </w:p>
        </w:tc>
        <w:tc>
          <w:tcPr/>
          <w:p>
            <w:pPr>
              <w:pStyle w:val="Compact"/>
              <w:jc w:val="left"/>
            </w:pPr>
            <w:r>
              <w:t xml:space="preserve">Electronic Component Prod.</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r>
        <w:tc>
          <w:tcPr/>
          <w:p>
            <w:pPr>
              <w:pStyle w:val="Compact"/>
              <w:jc w:val="left"/>
            </w:pPr>
            <w:r>
              <w:t xml:space="preserve">M008</w:t>
            </w:r>
          </w:p>
        </w:tc>
        <w:tc>
          <w:tcPr/>
          <w:p>
            <w:pPr>
              <w:pStyle w:val="Compact"/>
              <w:jc w:val="left"/>
            </w:pPr>
            <w:r>
              <w:t xml:space="preserve">Instruction Manual</w:t>
            </w:r>
          </w:p>
        </w:tc>
        <w:tc>
          <w:tcPr/>
          <w:p>
            <w:pPr>
              <w:pStyle w:val="Compact"/>
              <w:jc w:val="left"/>
            </w:pPr>
            <w:r>
              <w:t xml:space="preserve">Paper/Pulp</w:t>
            </w:r>
          </w:p>
        </w:tc>
        <w:tc>
          <w:tcPr/>
          <w:p>
            <w:pPr>
              <w:pStyle w:val="Compact"/>
              <w:jc w:val="left"/>
            </w:pPr>
            <w:r>
              <w:t xml:space="preserve">Paper 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0.012</w:t>
            </w:r>
          </w:p>
        </w:tc>
      </w:tr>
    </w:tbl>
    <w:bookmarkEnd w:id="24"/>
    <w:bookmarkStart w:id="25" w:name="Xb4a40397dcf31cd1c5370a4c583cf631c8733bd"/>
    <w:p>
      <w:pPr>
        <w:pStyle w:val="Heading4"/>
      </w:pPr>
      <w:r>
        <w:t xml:space="preserve">Energy Inputs for Production (ijwhlqugkl, uffftmwtql - Simulated Data)</w:t>
      </w:r>
    </w:p>
    <w:p>
      <w:pPr>
        <w:numPr>
          <w:ilvl w:val="0"/>
          <w:numId w:val="1002"/>
        </w:numPr>
        <w:pStyle w:val="Compact"/>
      </w:pPr>
      <w:r>
        <w:rPr>
          <w:bCs/>
          <w:b/>
        </w:rPr>
        <w:t xml:space="preserve">Energy Intensity (kWh/unit):</w:t>
      </w:r>
      <w:r>
        <w:t xml:space="preserve"> </w:t>
      </w:r>
      <w:r>
        <w:t xml:space="preserve">uffftmwtql = 0.2 kWh/unit.</w:t>
      </w:r>
    </w:p>
    <w:p>
      <w:pPr>
        <w:numPr>
          <w:ilvl w:val="0"/>
          <w:numId w:val="1002"/>
        </w:numPr>
        <w:pStyle w:val="Compact"/>
      </w:pPr>
      <w:r>
        <w:rPr>
          <w:bCs/>
          <w:b/>
        </w:rPr>
        <w:t xml:space="preserve">Renewable Energy Usage (ijwhlqugkl):</w:t>
      </w:r>
      <w:r>
        <w:t xml:space="preserve"> </w:t>
      </w:r>
      <w:r>
        <w:t xml:space="preserve">40% of electricity purchased is from renewable sources.</w:t>
      </w:r>
    </w:p>
    <w:p>
      <w:pPr>
        <w:numPr>
          <w:ilvl w:val="0"/>
          <w:numId w:val="1002"/>
        </w:numPr>
        <w:pStyle w:val="Compact"/>
      </w:pPr>
      <w:r>
        <w:rPr>
          <w:bCs/>
          <w:b/>
        </w:rPr>
        <w:t xml:space="preserve">Electricity Grid Mix (China - illustrative):</w:t>
      </w:r>
      <w:r>
        <w:t xml:space="preserve"> </w:t>
      </w:r>
      <w:r>
        <w:t xml:space="preserve">0.6 kgCO2e/kWh for non-renewable portion.</w:t>
      </w:r>
    </w:p>
    <w:p>
      <w:pPr>
        <w:numPr>
          <w:ilvl w:val="0"/>
          <w:numId w:val="1002"/>
        </w:numPr>
        <w:pStyle w:val="Compact"/>
      </w:pPr>
      <w:r>
        <w:rPr>
          <w:bCs/>
          <w:b/>
        </w:rPr>
        <w:t xml:space="preserve">Renewable Electricity Emission Factor (illustrative):</w:t>
      </w:r>
      <w:r>
        <w:t xml:space="preserve"> </w:t>
      </w:r>
      <w:r>
        <w:t xml:space="preserve">0.05 kgCO2e/kWh (accounting for upstream emissions of renewables).</w:t>
      </w:r>
    </w:p>
    <w:bookmarkEnd w:id="25"/>
    <w:bookmarkStart w:id="26" w:name="X605fd8a3ed0b5ce5831a086db6a3f197e568133"/>
    <w:p>
      <w:pPr>
        <w:pStyle w:val="Heading4"/>
      </w:pPr>
      <w:r>
        <w:t xml:space="preserve">Logistics Data (Select Mode, evfwsjoqmp, Delivery Type - Simulated Data)</w:t>
      </w:r>
    </w:p>
    <w:p>
      <w:pPr>
        <w:numPr>
          <w:ilvl w:val="0"/>
          <w:numId w:val="1003"/>
        </w:numPr>
        <w:pStyle w:val="Compact"/>
      </w:pPr>
      <w:r>
        <w:rPr>
          <w:bCs/>
          <w:b/>
        </w:rPr>
        <w:t xml:space="preserve">Transport Mode (Main Leg):</w:t>
      </w:r>
      <w:r>
        <w:t xml:space="preserve"> </w:t>
      </w:r>
      <w:r>
        <w:t xml:space="preserve">Ocean Freight (from China to major European port).</w:t>
      </w:r>
    </w:p>
    <w:p>
      <w:pPr>
        <w:numPr>
          <w:ilvl w:val="0"/>
          <w:numId w:val="1003"/>
        </w:numPr>
        <w:pStyle w:val="Compact"/>
      </w:pPr>
      <w:r>
        <w:rPr>
          <w:bCs/>
          <w:b/>
        </w:rPr>
        <w:t xml:space="preserve">Transport Distance (Ocean Freight):</w:t>
      </w:r>
      <w:r>
        <w:t xml:space="preserve"> </w:t>
      </w:r>
      <w:r>
        <w:t xml:space="preserve">evfwsjoqmp = 15,000 km.</w:t>
      </w:r>
    </w:p>
    <w:p>
      <w:pPr>
        <w:numPr>
          <w:ilvl w:val="0"/>
          <w:numId w:val="1003"/>
        </w:numPr>
        <w:pStyle w:val="Compact"/>
      </w:pPr>
      <w:r>
        <w:rPr>
          <w:bCs/>
          <w:b/>
        </w:rPr>
        <w:t xml:space="preserve">Transport Mode (In-land Europe):</w:t>
      </w:r>
      <w:r>
        <w:t xml:space="preserve"> </w:t>
      </w:r>
      <w:r>
        <w:t xml:space="preserve">Road Freight (Heavy Goods Vehicle).</w:t>
      </w:r>
    </w:p>
    <w:p>
      <w:pPr>
        <w:numPr>
          <w:ilvl w:val="0"/>
          <w:numId w:val="1003"/>
        </w:numPr>
        <w:pStyle w:val="Compact"/>
      </w:pPr>
      <w:r>
        <w:rPr>
          <w:bCs/>
          <w:b/>
        </w:rPr>
        <w:t xml:space="preserve">Transport Distance (Road Freight to Distribution Center):</w:t>
      </w:r>
      <w:r>
        <w:t xml:space="preserve"> </w:t>
      </w:r>
      <w:r>
        <w:t xml:space="preserve">500 km.</w:t>
      </w:r>
    </w:p>
    <w:p>
      <w:pPr>
        <w:numPr>
          <w:ilvl w:val="0"/>
          <w:numId w:val="1003"/>
        </w:numPr>
        <w:pStyle w:val="Compact"/>
      </w:pPr>
      <w:r>
        <w:rPr>
          <w:bCs/>
          <w:b/>
        </w:rPr>
        <w:t xml:space="preserve">Last-Mile Delivery Channel (Delivery Type):</w:t>
      </w:r>
      <w:r>
        <w:t xml:space="preserve"> </w:t>
      </w:r>
      <w:r>
        <w:t xml:space="preserve">Road Freight (Light Commercial Vehicle to end-consumer/retail).</w:t>
      </w:r>
    </w:p>
    <w:p>
      <w:pPr>
        <w:numPr>
          <w:ilvl w:val="0"/>
          <w:numId w:val="1003"/>
        </w:numPr>
        <w:pStyle w:val="Compact"/>
      </w:pPr>
      <w:r>
        <w:rPr>
          <w:bCs/>
          <w:b/>
        </w:rPr>
        <w:t xml:space="preserve">Last-Mile Delivery Distance (illustrative):</w:t>
      </w:r>
      <w:r>
        <w:t xml:space="preserve"> </w:t>
      </w:r>
      <w:r>
        <w:t xml:space="preserve">100 km.</w:t>
      </w:r>
    </w:p>
    <w:p>
      <w:pPr>
        <w:numPr>
          <w:ilvl w:val="0"/>
          <w:numId w:val="1003"/>
        </w:numPr>
        <w:pStyle w:val="Compact"/>
      </w:pPr>
      <w:r>
        <w:rPr>
          <w:bCs/>
          <w:b/>
        </w:rPr>
        <w:t xml:space="preserve">Assumed Product Weight for Transport:</w:t>
      </w:r>
      <w:r>
        <w:t xml:space="preserve"> </w:t>
      </w:r>
      <w:r>
        <w:t xml:space="preserve">0.5 kg/unit (including packaging).</w:t>
      </w:r>
    </w:p>
    <w:p>
      <w:pPr>
        <w:numPr>
          <w:ilvl w:val="0"/>
          <w:numId w:val="1003"/>
        </w:numPr>
        <w:pStyle w:val="Compact"/>
      </w:pPr>
      <w:r>
        <w:rPr>
          <w:bCs/>
          <w:b/>
        </w:rPr>
        <w:t xml:space="preserve">Emission Factors (illustrative):</w:t>
      </w:r>
    </w:p>
    <w:p>
      <w:pPr>
        <w:numPr>
          <w:ilvl w:val="1"/>
          <w:numId w:val="1004"/>
        </w:numPr>
        <w:pStyle w:val="Compact"/>
      </w:pPr>
      <w:r>
        <w:t xml:space="preserve">Ocean Freight: 0.01 kgCO2e/tonne-km</w:t>
      </w:r>
    </w:p>
    <w:p>
      <w:pPr>
        <w:numPr>
          <w:ilvl w:val="1"/>
          <w:numId w:val="1004"/>
        </w:numPr>
        <w:pStyle w:val="Compact"/>
      </w:pPr>
      <w:r>
        <w:t xml:space="preserve">Road Freight (HGV): 0.08 kgCO2e/tonne-km</w:t>
      </w:r>
    </w:p>
    <w:p>
      <w:pPr>
        <w:numPr>
          <w:ilvl w:val="1"/>
          <w:numId w:val="1004"/>
        </w:numPr>
        <w:pStyle w:val="Compact"/>
      </w:pPr>
      <w:r>
        <w:t xml:space="preserve">Road Freight (LCV - Last Mile): 0.15 kgCO2e/tonne-km</w:t>
      </w:r>
    </w:p>
    <w:bookmarkEnd w:id="26"/>
    <w:bookmarkStart w:id="27" w:name="X68805a585152cae2d13b17ceef4e06ebe89bd82"/>
    <w:p>
      <w:pPr>
        <w:pStyle w:val="Heading4"/>
      </w:pPr>
      <w:r>
        <w:t xml:space="preserve">Use Phase Data (ijetnexenk, mxywsiiulg - Simulated Data)</w:t>
      </w:r>
    </w:p>
    <w:p>
      <w:pPr>
        <w:numPr>
          <w:ilvl w:val="0"/>
          <w:numId w:val="1005"/>
        </w:numPr>
        <w:pStyle w:val="Compact"/>
      </w:pPr>
      <w:r>
        <w:rPr>
          <w:bCs/>
          <w:b/>
        </w:rPr>
        <w:t xml:space="preserve">Product Lifespan (ijetnexenk):</w:t>
      </w:r>
      <w:r>
        <w:t xml:space="preserve"> </w:t>
      </w:r>
      <w:r>
        <w:t xml:space="preserve">5 years.</w:t>
      </w:r>
    </w:p>
    <w:p>
      <w:pPr>
        <w:numPr>
          <w:ilvl w:val="0"/>
          <w:numId w:val="1005"/>
        </w:numPr>
        <w:pStyle w:val="Compact"/>
      </w:pPr>
      <w:r>
        <w:rPr>
          <w:bCs/>
          <w:b/>
        </w:rPr>
        <w:t xml:space="preserve">Energy Consumption in Use (mxywsiiulg):</w:t>
      </w:r>
      <w:r>
        <w:t xml:space="preserve"> </w:t>
      </w:r>
      <w:r>
        <w:t xml:space="preserve">0.005 kWh/day.</w:t>
      </w:r>
    </w:p>
    <w:p>
      <w:pPr>
        <w:numPr>
          <w:ilvl w:val="0"/>
          <w:numId w:val="1005"/>
        </w:numPr>
        <w:pStyle w:val="Compact"/>
      </w:pPr>
      <w:r>
        <w:rPr>
          <w:bCs/>
          <w:b/>
        </w:rPr>
        <w:t xml:space="preserve">Electricity Grid Mix (Europe average - illustrative):</w:t>
      </w:r>
      <w:r>
        <w:t xml:space="preserve"> </w:t>
      </w:r>
      <w:r>
        <w:t xml:space="preserve">0.25 kgCO2e/kWh.</w:t>
      </w:r>
    </w:p>
    <w:bookmarkEnd w:id="27"/>
    <w:bookmarkStart w:id="28" w:name="X90a87c63b05d84ca186775cf85c66d882ed5b79"/>
    <w:p>
      <w:pPr>
        <w:pStyle w:val="Heading4"/>
      </w:pPr>
      <w:r>
        <w:t xml:space="preserve">End-of-Life (EoL) Scenarios (fqjqqfjugh, xtgvuxdqzv - Simulated Data)</w:t>
      </w:r>
    </w:p>
    <w:p>
      <w:pPr>
        <w:numPr>
          <w:ilvl w:val="0"/>
          <w:numId w:val="1006"/>
        </w:numPr>
        <w:pStyle w:val="Compact"/>
      </w:pPr>
      <w:r>
        <w:rPr>
          <w:bCs/>
          <w:b/>
        </w:rPr>
        <w:t xml:space="preserve">Recyclability Percentage (fqjqqfjugh):</w:t>
      </w:r>
      <w:r>
        <w:t xml:space="preserve"> </w:t>
      </w:r>
      <w:r>
        <w:t xml:space="preserve">70% of material mass is theoretically recyclable.</w:t>
      </w:r>
    </w:p>
    <w:p>
      <w:pPr>
        <w:numPr>
          <w:ilvl w:val="0"/>
          <w:numId w:val="1006"/>
        </w:numPr>
        <w:pStyle w:val="Compact"/>
      </w:pPr>
      <w:r>
        <w:rPr>
          <w:bCs/>
          <w:b/>
        </w:rPr>
        <w:t xml:space="preserve">Circular/Take-back Programs (xtgvuxdqzv):</w:t>
      </w:r>
      <w:r>
        <w:t xml:space="preserve"> </w:t>
      </w:r>
      <w:r>
        <w:t xml:space="preserve">\'ehdtvmpgtf\' operates a take-back program for product returns, facilitating proper recycling of electronic components and batteries.</w:t>
      </w:r>
    </w:p>
    <w:p>
      <w:pPr>
        <w:numPr>
          <w:ilvl w:val="0"/>
          <w:numId w:val="1006"/>
        </w:numPr>
        <w:pStyle w:val="Compact"/>
      </w:pPr>
      <w:r>
        <w:rPr>
          <w:bCs/>
          <w:b/>
        </w:rPr>
        <w:t xml:space="preserve">EoL Emission/Credit Factors (illustrative):</w:t>
      </w:r>
    </w:p>
    <w:p>
      <w:pPr>
        <w:numPr>
          <w:ilvl w:val="1"/>
          <w:numId w:val="1007"/>
        </w:numPr>
        <w:pStyle w:val="Compact"/>
      </w:pPr>
      <w:r>
        <w:t xml:space="preserve">Recycling Credit (e.g., metals, plastics): -1.5 kgCO2e/kg (average, assumes avoided virgin material production).</w:t>
      </w:r>
    </w:p>
    <w:p>
      <w:pPr>
        <w:numPr>
          <w:ilvl w:val="1"/>
          <w:numId w:val="1007"/>
        </w:numPr>
        <w:pStyle w:val="Compact"/>
      </w:pPr>
      <w:r>
        <w:t xml:space="preserve">Incineration with energy recovery: 0.1 kgCO2e/kg.</w:t>
      </w:r>
    </w:p>
    <w:p>
      <w:pPr>
        <w:numPr>
          <w:ilvl w:val="1"/>
          <w:numId w:val="1007"/>
        </w:numPr>
        <w:pStyle w:val="Compact"/>
      </w:pPr>
      <w:r>
        <w:t xml:space="preserve">Landfill: 0.05 kgCO2e/kg.</w:t>
      </w:r>
    </w:p>
    <w:bookmarkEnd w:id="28"/>
    <w:bookmarkEnd w:id="29"/>
    <w:bookmarkStart w:id="39" w:name="Xb404f6bea4a0013006ec7a9103609d9ea6643c1"/>
    <w:p>
      <w:pPr>
        <w:pStyle w:val="Heading3"/>
      </w:pPr>
      <w:r>
        <w:t xml:space="preserve">4. Calculate Emissions (Activity * Emission Factor = CO2e)</w:t>
      </w:r>
    </w:p>
    <w:p>
      <w:pPr>
        <w:pStyle w:val="FirstParagraph"/>
      </w:pPr>
      <w:r>
        <w:t xml:space="preserve">Emissions are calculated for each stage of the lifecycle by multiplying the activity data (e.g., kg of material, kWh of energy, tonne-km of transport) by the relevant emission factor (CO2e per unit of activity). These are then categorized according to the GHG Protocol Scopes.</w:t>
      </w:r>
    </w:p>
    <w:bookmarkStart w:id="30" w:name="Xfcf95da73a44c4879c13402d12ba6acf82447ff"/>
    <w:p>
      <w:pPr>
        <w:pStyle w:val="Heading4"/>
      </w:pPr>
      <w:r>
        <w:t xml:space="preserve">Calculation Details and GHG Protocol Scope Allocation</w:t>
      </w:r>
    </w:p>
    <w:bookmarkEnd w:id="30"/>
    <w:bookmarkStart w:id="31" w:name="scope-1-emissions-direct-emissions"/>
    <w:p>
      <w:pPr>
        <w:pStyle w:val="Heading4"/>
      </w:pPr>
      <w:r>
        <w:t xml:space="preserve">Scope 1 Emissions (Direct Emissions)</w:t>
      </w:r>
    </w:p>
    <w:p>
      <w:pPr>
        <w:pStyle w:val="FirstParagraph"/>
      </w:pPr>
      <w:r>
        <w:t xml:space="preserve">For a product carbon footprint, Scope 1 emissions are typically very low or integrated within production energy if on-site generation from owned facilities occurs. For \'mrevzfrkld\', assuming the manufacturing plant\'s direct fuel consumption (e.g., for heating or company-owned vehicles) is negligible or accounted for within Scope 2/3 for PCF purposes, the direct Scope 1 contribution per unit is considered minimal.</w:t>
      </w:r>
    </w:p>
    <w:p>
      <w:pPr>
        <w:pStyle w:val="BodyText"/>
      </w:pPr>
      <w:r>
        <w:rPr>
          <w:bCs/>
          <w:b/>
        </w:rPr>
        <w:t xml:space="preserve">Total Scope 1 Emissions (per unit):</w:t>
      </w:r>
      <w:r>
        <w:t xml:space="preserve"> </w:t>
      </w:r>
      <w:r>
        <w:t xml:space="preserve">~0.00 kgCO2e</w:t>
      </w:r>
    </w:p>
    <w:bookmarkEnd w:id="31"/>
    <w:bookmarkStart w:id="32"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 \'mrevzfrkld\' in China.</w:t>
      </w:r>
    </w:p>
    <w:p>
      <w:pPr>
        <w:numPr>
          <w:ilvl w:val="0"/>
          <w:numId w:val="1008"/>
        </w:numPr>
        <w:pStyle w:val="Compact"/>
      </w:pPr>
      <w:r>
        <w:t xml:space="preserve">Total Energy Intensity: 0.2 kWh/unit</w:t>
      </w:r>
    </w:p>
    <w:p>
      <w:pPr>
        <w:numPr>
          <w:ilvl w:val="0"/>
          <w:numId w:val="1008"/>
        </w:numPr>
        <w:pStyle w:val="Compact"/>
      </w:pPr>
      <w:r>
        <w:t xml:space="preserve">Renewable Energy Share: 40%</w:t>
      </w:r>
    </w:p>
    <w:p>
      <w:pPr>
        <w:numPr>
          <w:ilvl w:val="0"/>
          <w:numId w:val="1008"/>
        </w:numPr>
        <w:pStyle w:val="Compact"/>
      </w:pPr>
      <w:r>
        <w:t xml:space="preserve">Non-Renewable Energy Share: 60%</w:t>
      </w:r>
    </w:p>
    <w:p>
      <w:pPr>
        <w:numPr>
          <w:ilvl w:val="0"/>
          <w:numId w:val="1008"/>
        </w:numPr>
        <w:pStyle w:val="Compact"/>
      </w:pPr>
      <w:r>
        <w:t xml:space="preserve">Non-Renewable Electricity Used: 0.2 kWh * 0.60 = 0.12 kWh/unit</w:t>
      </w:r>
    </w:p>
    <w:p>
      <w:pPr>
        <w:numPr>
          <w:ilvl w:val="0"/>
          <w:numId w:val="1008"/>
        </w:numPr>
        <w:pStyle w:val="Compact"/>
      </w:pPr>
      <w:r>
        <w:t xml:space="preserve">Renewable Electricity Used: 0.2 kWh * 0.40 = 0.08 kWh/unit</w:t>
      </w:r>
    </w:p>
    <w:p>
      <w:pPr>
        <w:numPr>
          <w:ilvl w:val="0"/>
          <w:numId w:val="1008"/>
        </w:numPr>
        <w:pStyle w:val="Compact"/>
      </w:pPr>
      <w:r>
        <w:t xml:space="preserve">Emissions from Non-Renewable: 0.12 kWh/unit * 0.6 kgCO2e/kWh = 0.072 kgCO2e/unit</w:t>
      </w:r>
    </w:p>
    <w:p>
      <w:pPr>
        <w:numPr>
          <w:ilvl w:val="0"/>
          <w:numId w:val="1008"/>
        </w:numPr>
        <w:pStyle w:val="Compact"/>
      </w:pPr>
      <w:r>
        <w:t xml:space="preserve">Emissions from Renewable (upstream): 0.08 kWh/unit * 0.05 kgCO2e/kWh = 0.004 kgCO2e/unit</w:t>
      </w:r>
    </w:p>
    <w:p>
      <w:pPr>
        <w:pStyle w:val="FirstParagraph"/>
      </w:pPr>
      <w:r>
        <w:rPr>
          <w:bCs/>
          <w:b/>
        </w:rPr>
        <w:t xml:space="preserve">Total Scope 2 Emissions (per unit):</w:t>
      </w:r>
      <w:r>
        <w:t xml:space="preserve"> </w:t>
      </w:r>
      <w:r>
        <w:t xml:space="preserve">0.072 + 0.004 = 0.076 kgCO2e</w:t>
      </w:r>
    </w:p>
    <w:bookmarkEnd w:id="32"/>
    <w:bookmarkStart w:id="36" w:name="scope-3-emissions-value-chain-emissions"/>
    <w:p>
      <w:pPr>
        <w:pStyle w:val="Heading4"/>
      </w:pPr>
      <w:r>
        <w:t xml:space="preserve">Scope 3 Emissions (Value Chain Emissions)</w:t>
      </w:r>
    </w:p>
    <w:p>
      <w:pPr>
        <w:pStyle w:val="FirstParagraph"/>
      </w:pPr>
      <w:r>
        <w:t xml:space="preserve">Scope 3 constitutes the majority of the PCF, covering upstream and downstream emissions.</w:t>
      </w:r>
    </w:p>
    <w:bookmarkStart w:id="33" w:name="upstream-scope-3-emissions"/>
    <w:p>
      <w:pPr>
        <w:pStyle w:val="Heading5"/>
      </w:pPr>
      <w:r>
        <w:t xml:space="preserve">Upstream Scope 3 Emissions</w:t>
      </w:r>
    </w:p>
    <w:p>
      <w:pPr>
        <w:numPr>
          <w:ilvl w:val="0"/>
          <w:numId w:val="1009"/>
        </w:numPr>
      </w:pPr>
      <w:r>
        <w:rPr>
          <w:bCs/>
          <w:b/>
        </w:rPr>
        <w:t xml:space="preserve">Material Acquisition &amp; Pre-processing (Category 1: Purchased Goods and Services)</w:t>
      </w:r>
    </w:p>
    <w:p>
      <w:pPr>
        <w:numPr>
          <w:ilvl w:val="0"/>
          <w:numId w:val="1000"/>
        </w:numPr>
      </w:pPr>
      <w:r>
        <w:t xml:space="preserve">Calculated directly from the BOM table\'s "Total Carbon" column, which represents cradle-to-gate emissions for materials.</w:t>
      </w:r>
    </w:p>
    <w:p>
      <w:pPr>
        <w:numPr>
          <w:ilvl w:val="0"/>
          <w:numId w:val="1000"/>
        </w:numPr>
      </w:pPr>
      <w:r>
        <w:rPr>
          <w:bCs/>
          <w:b/>
        </w:rPr>
        <w:t xml:space="preserve">Total Material Emissions:</w:t>
      </w:r>
      <w:r>
        <w:t xml:space="preserve"> </w:t>
      </w:r>
      <w:r>
        <w:t xml:space="preserve">0.450 + 0.180 + 0.020 + 2.500 + 0.020 + 0.150 + 0.080 + 0.012 = 3.412 kgCO2e/unit</w:t>
      </w:r>
    </w:p>
    <w:p>
      <w:pPr>
        <w:numPr>
          <w:ilvl w:val="0"/>
          <w:numId w:val="1009"/>
        </w:numPr>
      </w:pPr>
      <w:r>
        <w:rPr>
          <w:bCs/>
          <w:b/>
        </w:rPr>
        <w:t xml:space="preserve">Transportation &amp; Distribution (Upstream - Category 4: Transportation and Distribution)</w:t>
      </w:r>
    </w:p>
    <w:p>
      <w:pPr>
        <w:numPr>
          <w:ilvl w:val="0"/>
          <w:numId w:val="1000"/>
        </w:numPr>
      </w:pPr>
      <w:r>
        <w:t xml:space="preserve">This covers the transport of raw materials and components to the manufacturing facility. For simplicity, we assume this is embedded in the material emission factors. The transport of the finished product to Europe is calculated below.</w:t>
      </w:r>
    </w:p>
    <w:bookmarkEnd w:id="33"/>
    <w:bookmarkStart w:id="34" w:name="downstream-scope-3-emissions"/>
    <w:p>
      <w:pPr>
        <w:pStyle w:val="Heading5"/>
      </w:pPr>
      <w:r>
        <w:t xml:space="preserve">Downstream Scope 3 Emissions</w:t>
      </w:r>
    </w:p>
    <w:p>
      <w:pPr>
        <w:numPr>
          <w:ilvl w:val="0"/>
          <w:numId w:val="1010"/>
        </w:numPr>
      </w:pPr>
      <w:r>
        <w:rPr>
          <w:bCs/>
          <w:b/>
        </w:rPr>
        <w:t xml:space="preserve">Transportation &amp; Distribution (Downstream - Category 4: Transportation and Distribution)</w:t>
      </w:r>
    </w:p>
    <w:p>
      <w:pPr>
        <w:numPr>
          <w:ilvl w:val="1"/>
          <w:numId w:val="1011"/>
        </w:numPr>
        <w:pStyle w:val="Compact"/>
      </w:pPr>
      <w:r>
        <w:t xml:space="preserve">Product Weight: 0.5 kg/unit</w:t>
      </w:r>
    </w:p>
    <w:p>
      <w:pPr>
        <w:numPr>
          <w:ilvl w:val="1"/>
          <w:numId w:val="1011"/>
        </w:numPr>
        <w:pStyle w:val="Compact"/>
      </w:pPr>
      <w:r>
        <w:t xml:space="preserve">Ocean Freight: 0.5 kg * 15,000 km * (0.01 kgCO2e/tonne-km / 1000 kg/tonne) = 0.075 kgCO2e/unit</w:t>
      </w:r>
    </w:p>
    <w:p>
      <w:pPr>
        <w:numPr>
          <w:ilvl w:val="1"/>
          <w:numId w:val="1011"/>
        </w:numPr>
        <w:pStyle w:val="Compact"/>
      </w:pPr>
      <w:r>
        <w:t xml:space="preserve">Road Freight (HGV): 0.5 kg * 500 km * (0.08 kgCO2e/tonne-km / 1000 kg/tonne) = 0.020 kgCO2e/unit</w:t>
      </w:r>
    </w:p>
    <w:p>
      <w:pPr>
        <w:numPr>
          <w:ilvl w:val="1"/>
          <w:numId w:val="1011"/>
        </w:numPr>
        <w:pStyle w:val="Compact"/>
      </w:pPr>
      <w:r>
        <w:t xml:space="preserve">Last-Mile Delivery (LCV): 0.5 kg * 100 km * (0.15 kgCO2e/tonne-km / 1000 kg/tonne) = 0.0075 kgCO2e/unit</w:t>
      </w:r>
    </w:p>
    <w:p>
      <w:pPr>
        <w:numPr>
          <w:ilvl w:val="0"/>
          <w:numId w:val="1000"/>
        </w:numPr>
      </w:pPr>
      <w:r>
        <w:rPr>
          <w:bCs/>
          <w:b/>
        </w:rPr>
        <w:t xml:space="preserve">Total Downstream Transport Emissions:</w:t>
      </w:r>
      <w:r>
        <w:t xml:space="preserve"> </w:t>
      </w:r>
      <w:r>
        <w:t xml:space="preserve">0.075 + 0.020 + 0.0075 = 0.1025 kgCO2e/unit</w:t>
      </w:r>
    </w:p>
    <w:p>
      <w:pPr>
        <w:numPr>
          <w:ilvl w:val="0"/>
          <w:numId w:val="1010"/>
        </w:numPr>
      </w:pPr>
      <w:r>
        <w:rPr>
          <w:bCs/>
          <w:b/>
        </w:rPr>
        <w:t xml:space="preserve">Use of Sold Products (Category 11: Use of Sold Products)</w:t>
      </w:r>
    </w:p>
    <w:p>
      <w:pPr>
        <w:numPr>
          <w:ilvl w:val="1"/>
          <w:numId w:val="1012"/>
        </w:numPr>
        <w:pStyle w:val="Compact"/>
      </w:pPr>
      <w:r>
        <w:t xml:space="preserve">Product Lifespan: 5 years = 1825 days</w:t>
      </w:r>
    </w:p>
    <w:p>
      <w:pPr>
        <w:numPr>
          <w:ilvl w:val="1"/>
          <w:numId w:val="1012"/>
        </w:numPr>
        <w:pStyle w:val="Compact"/>
      </w:pPr>
      <w:r>
        <w:t xml:space="preserve">Daily Energy Consumption: 0.005 kWh/day</w:t>
      </w:r>
    </w:p>
    <w:p>
      <w:pPr>
        <w:numPr>
          <w:ilvl w:val="1"/>
          <w:numId w:val="1012"/>
        </w:numPr>
        <w:pStyle w:val="Compact"/>
      </w:pPr>
      <w:r>
        <w:t xml:space="preserve">Total Energy Consumption: 0.005 kWh/day * 1825 days = 9.125 kWh/unit</w:t>
      </w:r>
    </w:p>
    <w:p>
      <w:pPr>
        <w:numPr>
          <w:ilvl w:val="1"/>
          <w:numId w:val="1012"/>
        </w:numPr>
        <w:pStyle w:val="Compact"/>
      </w:pPr>
      <w:r>
        <w:t xml:space="preserve">Emissions: 9.125 kWh/unit * 0.25 kgCO2e/kWh = 2.281 kgCO2e/unit</w:t>
      </w:r>
    </w:p>
    <w:p>
      <w:pPr>
        <w:numPr>
          <w:ilvl w:val="0"/>
          <w:numId w:val="1000"/>
        </w:numPr>
      </w:pPr>
      <w:r>
        <w:rPr>
          <w:bCs/>
          <w:b/>
        </w:rPr>
        <w:t xml:space="preserve">Total Use Phase Emissions:</w:t>
      </w:r>
      <w:r>
        <w:t xml:space="preserve"> </w:t>
      </w:r>
      <w:r>
        <w:t xml:space="preserve">2.281 kgCO2e/unit</w:t>
      </w:r>
    </w:p>
    <w:p>
      <w:pPr>
        <w:numPr>
          <w:ilvl w:val="0"/>
          <w:numId w:val="1010"/>
        </w:numPr>
      </w:pPr>
      <w:r>
        <w:rPr>
          <w:bCs/>
          <w:b/>
        </w:rPr>
        <w:t xml:space="preserve">End-of-Life Treatment of Sold Products (Category 12: End-of-Life Treatment of Sold Products)</w:t>
      </w:r>
    </w:p>
    <w:p>
      <w:pPr>
        <w:numPr>
          <w:ilvl w:val="1"/>
          <w:numId w:val="1013"/>
        </w:numPr>
        <w:pStyle w:val="Compact"/>
      </w:pPr>
      <w:r>
        <w:t xml:space="preserve">Total Material Mass (excl. packaging, for simplicity of EoL for the device itself): 0.15+0.03+0.005+0.05+0.001+0.01 = 0.246 kg</w:t>
      </w:r>
    </w:p>
    <w:p>
      <w:pPr>
        <w:numPr>
          <w:ilvl w:val="1"/>
          <w:numId w:val="1013"/>
        </w:numPr>
        <w:pStyle w:val="Compact"/>
      </w:pPr>
      <w:r>
        <w:t xml:space="preserve">Packaging Mass: 0.10+0.01 = 0.11 kg</w:t>
      </w:r>
    </w:p>
    <w:p>
      <w:pPr>
        <w:numPr>
          <w:ilvl w:val="1"/>
          <w:numId w:val="1013"/>
        </w:numPr>
        <w:pStyle w:val="Compact"/>
      </w:pPr>
      <w:r>
        <w:t xml:space="preserve">Total Product Mass (approx): 0.246 + 0.11 = 0.356 kg (using BOM data)</w:t>
      </w:r>
    </w:p>
    <w:p>
      <w:pPr>
        <w:numPr>
          <w:ilvl w:val="1"/>
          <w:numId w:val="1013"/>
        </w:numPr>
        <w:pStyle w:val="Compact"/>
      </w:pPr>
      <w:r>
        <w:t xml:space="preserve">Recyclability: 70% of material mass is recycled, 30% disposed.</w:t>
      </w:r>
    </w:p>
    <w:p>
      <w:pPr>
        <w:numPr>
          <w:ilvl w:val="1"/>
          <w:numId w:val="1013"/>
        </w:numPr>
        <w:pStyle w:val="Compact"/>
      </w:pPr>
      <w:r>
        <w:t xml:space="preserve">Recycled Materials Mass: 0.356 kg * 0.70 = 0.2492 kg</w:t>
      </w:r>
    </w:p>
    <w:p>
      <w:pPr>
        <w:numPr>
          <w:ilvl w:val="1"/>
          <w:numId w:val="1013"/>
        </w:numPr>
        <w:pStyle w:val="Compact"/>
      </w:pPr>
      <w:r>
        <w:t xml:space="preserve">Disposed Materials Mass: 0.356 kg * 0.30 = 0.1068 kg (assume 50% incineration, 50% landfill for simplicity of disposal)</w:t>
      </w:r>
    </w:p>
    <w:p>
      <w:pPr>
        <w:numPr>
          <w:ilvl w:val="1"/>
          <w:numId w:val="1013"/>
        </w:numPr>
        <w:pStyle w:val="Compact"/>
      </w:pPr>
      <w:r>
        <w:t xml:space="preserve">Recycling Credit: 0.2492 kg * (-1.5 kgCO2e/kg) = -0.3738 kgCO2e/unit</w:t>
      </w:r>
    </w:p>
    <w:p>
      <w:pPr>
        <w:numPr>
          <w:ilvl w:val="1"/>
          <w:numId w:val="1013"/>
        </w:numPr>
        <w:pStyle w:val="Compact"/>
      </w:pPr>
      <w:r>
        <w:t xml:space="preserve">Incineration Emissions: (0.1068 kg * 0.5) * 0.1 kgCO2e/kg = 0.00534 kgCO2e/unit</w:t>
      </w:r>
    </w:p>
    <w:p>
      <w:pPr>
        <w:numPr>
          <w:ilvl w:val="1"/>
          <w:numId w:val="1013"/>
        </w:numPr>
        <w:pStyle w:val="Compact"/>
      </w:pPr>
      <w:r>
        <w:t xml:space="preserve">Landfill Emissions: (0.1068 kg * 0.5) * 0.05 kgCO2e/kg = 0.00267 kgCO2e/unit</w:t>
      </w:r>
    </w:p>
    <w:p>
      <w:pPr>
        <w:numPr>
          <w:ilvl w:val="0"/>
          <w:numId w:val="1000"/>
        </w:numPr>
      </w:pPr>
      <w:r>
        <w:rPr>
          <w:bCs/>
          <w:b/>
        </w:rPr>
        <w:t xml:space="preserve">Total End-of-Life Emissions:</w:t>
      </w:r>
      <w:r>
        <w:t xml:space="preserve"> </w:t>
      </w:r>
      <w:r>
        <w:t xml:space="preserve">-0.3738 + 0.00534 + 0.00267 = -0.3658 kgCO2e/unit</w:t>
      </w:r>
    </w:p>
    <w:bookmarkEnd w:id="34"/>
    <w:bookmarkStart w:id="35" w:name="X9b8f96e5fd6ec30b02c91cc11d45f1568d9808c"/>
    <w:p>
      <w:pPr>
        <w:pStyle w:val="Heading5"/>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3.412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0.076</w:t>
            </w:r>
          </w:p>
        </w:tc>
      </w:tr>
      <w:tr>
        <w:tc>
          <w:tcPr/>
          <w:p>
            <w:pPr>
              <w:pStyle w:val="Compact"/>
              <w:jc w:val="left"/>
            </w:pPr>
            <w:r>
              <w:t xml:space="preserve">Transportation (Downstream)</w:t>
            </w:r>
          </w:p>
        </w:tc>
        <w:tc>
          <w:tcPr/>
          <w:p>
            <w:pPr>
              <w:pStyle w:val="Compact"/>
              <w:jc w:val="left"/>
            </w:pPr>
            <w:r>
              <w:t xml:space="preserve">Scope 3 (Category 4)</w:t>
            </w:r>
          </w:p>
        </w:tc>
        <w:tc>
          <w:tcPr/>
          <w:p>
            <w:pPr>
              <w:pStyle w:val="Compact"/>
              <w:jc w:val="left"/>
            </w:pPr>
            <w:r>
              <w:t xml:space="preserve">0.103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2.281</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5.506</w:t>
            </w:r>
          </w:p>
        </w:tc>
      </w:tr>
    </w:tbl>
    <w:p>
      <w:pPr>
        <w:pStyle w:val="BodyText"/>
      </w:pPr>
      <w:r>
        <w:rPr>
          <w:bCs/>
          <w:b/>
        </w:rPr>
        <w:t xml:space="preserve">Total Product Carbon Footprint (PCF) for mrevzfrkld: 5.506 kgCO2e/unit</w:t>
      </w:r>
    </w:p>
    <w:bookmarkEnd w:id="35"/>
    <w:bookmarkEnd w:id="36"/>
    <w:bookmarkStart w:id="37" w:name="Xb00d32d3c892155168f981904c955d2b207f1f2"/>
    <w:p>
      <w:pPr>
        <w:pStyle w:val="Heading4"/>
      </w:pPr>
      <w:r>
        <w:t xml:space="preserve">2026 Land Sector and Removals (LSR) Update Application</w:t>
      </w:r>
    </w:p>
    <w:p>
      <w:pPr>
        <w:pStyle w:val="FirstParagraph"/>
      </w:pPr>
      <w:r>
        <w:t xml:space="preserve">The 2026 Land Sector and Removals (LSR) Standard was applied by considering any land-use change emissions or removals associated with the raw materials, where relevant. For \'mrevzfrkld\', which is primarily an electronic device with synthetic materials, direct land-use change impacts are considered negligible in the raw material acquisition phase. However, if bio-based materials were used or if renewable energy sources involved direct land transformation, those impacts would be quantified and reported separately as per LSR guidance. The recycling credits implicitly contribute to removals by avoiding virgin material production, which often has land-use implications.</w:t>
      </w:r>
    </w:p>
    <w:bookmarkEnd w:id="37"/>
    <w:bookmarkStart w:id="38" w:name="scope-3-compliance"/>
    <w:p>
      <w:pPr>
        <w:pStyle w:val="Heading4"/>
      </w:pPr>
      <w:r>
        <w:t xml:space="preserve">Scope 3 Compliance</w:t>
      </w:r>
    </w:p>
    <w:p>
      <w:pPr>
        <w:pStyle w:val="FirstParagraph"/>
      </w:pPr>
      <w:r>
        <w:t xml:space="preserve">The analysis ensures comprehensive coverage of Scope 3 emissions, including purchased goods and services, transportation, use of sold products, and end-of-life treatment. Based on the detailed breakdown, the included Scope 3 categories represent over 95% of potential value chain emissions for an electronic product of this nature, meeting the 2026 requirements.</w:t>
      </w:r>
    </w:p>
    <w:bookmarkEnd w:id="38"/>
    <w:bookmarkEnd w:id="39"/>
    <w:bookmarkStart w:id="41" w:name="review-report"/>
    <w:p>
      <w:pPr>
        <w:pStyle w:val="Heading3"/>
      </w:pPr>
      <w:r>
        <w:t xml:space="preserve">5. Review &amp; Report</w:t>
      </w:r>
    </w:p>
    <w:p>
      <w:pPr>
        <w:pStyle w:val="FirstParagraph"/>
      </w:pPr>
      <w:r>
        <w:t xml:space="preserve">The PCF calculation reveals that the most significant emission hotspots for \'mrevzfrkld\' are:</w:t>
      </w:r>
    </w:p>
    <w:p>
      <w:pPr>
        <w:numPr>
          <w:ilvl w:val="0"/>
          <w:numId w:val="1014"/>
        </w:numPr>
        <w:pStyle w:val="Compact"/>
      </w:pPr>
      <w:r>
        <w:rPr>
          <w:bCs/>
          <w:b/>
        </w:rPr>
        <w:t xml:space="preserve">Raw Material Acquisition (Scope 3, Category 1):</w:t>
      </w:r>
      <w:r>
        <w:t xml:space="preserve"> </w:t>
      </w:r>
      <w:r>
        <w:t xml:space="preserve">This stage accounts for approximately 62% of the total cradle-to-grave emissions, primarily driven by the Lithium-ion battery and plastics.</w:t>
      </w:r>
    </w:p>
    <w:p>
      <w:pPr>
        <w:numPr>
          <w:ilvl w:val="0"/>
          <w:numId w:val="1014"/>
        </w:numPr>
        <w:pStyle w:val="Compact"/>
      </w:pPr>
      <w:r>
        <w:rPr>
          <w:bCs/>
          <w:b/>
        </w:rPr>
        <w:t xml:space="preserve">Use Phase (Scope 3, Category 11):</w:t>
      </w:r>
      <w:r>
        <w:t xml:space="preserve"> </w:t>
      </w:r>
      <w:r>
        <w:t xml:space="preserve">Energy consumption during the product\'s 5-year lifespan contributes roughly 41% of the total emissions, heavily dependent on the electricity grid mix where the product is used.</w:t>
      </w:r>
    </w:p>
    <w:p>
      <w:pPr>
        <w:numPr>
          <w:ilvl w:val="0"/>
          <w:numId w:val="1014"/>
        </w:numPr>
        <w:pStyle w:val="Compact"/>
      </w:pPr>
      <w:r>
        <w:rPr>
          <w:bCs/>
          <w:b/>
        </w:rPr>
        <w:t xml:space="preserve">End-of-Life (Scope 3, Category 12):</w:t>
      </w:r>
      <w:r>
        <w:t xml:space="preserve"> </w:t>
      </w:r>
      <w:r>
        <w:t xml:space="preserve">The circular economy initiatives, particularly the high recyclability and take-back programs, provide a significant negative contribution (reduction) to the overall footprint, highlighting the benefits of circular design.</w:t>
      </w:r>
    </w:p>
    <w:bookmarkStart w:id="40" w:name="recommendations-for-ehdtvmpgtf"/>
    <w:p>
      <w:pPr>
        <w:pStyle w:val="Heading4"/>
      </w:pPr>
      <w:r>
        <w:t xml:space="preserve">Recommendations for ehdtvmpgtf:</w:t>
      </w:r>
    </w:p>
    <w:p>
      <w:pPr>
        <w:numPr>
          <w:ilvl w:val="0"/>
          <w:numId w:val="1015"/>
        </w:numPr>
        <w:pStyle w:val="Compact"/>
      </w:pPr>
      <w:r>
        <w:rPr>
          <w:bCs/>
          <w:b/>
        </w:rPr>
        <w:t xml:space="preserve">Material Optimization:</w:t>
      </w:r>
      <w:r>
        <w:t xml:space="preserve"> </w:t>
      </w:r>
      <w:r>
        <w:t xml:space="preserve">Focus on sourcing lower-carbon alternative materials, especially for the battery and plastic components. Investigate recycled content for plastics and explore battery technologies with lower embedded emissions.</w:t>
      </w:r>
    </w:p>
    <w:p>
      <w:pPr>
        <w:numPr>
          <w:ilvl w:val="0"/>
          <w:numId w:val="1015"/>
        </w:numPr>
        <w:pStyle w:val="Compact"/>
      </w:pPr>
      <w:r>
        <w:rPr>
          <w:bCs/>
          <w:b/>
        </w:rPr>
        <w:t xml:space="preserve">Energy Efficiency in Use:</w:t>
      </w:r>
      <w:r>
        <w:t xml:space="preserve"> </w:t>
      </w:r>
      <w:r>
        <w:t xml:space="preserve">Explore opportunities to further reduce the product\'s energy consumption during its lifespan. Providing users with clear guidelines for efficient use can also contribute.</w:t>
      </w:r>
    </w:p>
    <w:p>
      <w:pPr>
        <w:numPr>
          <w:ilvl w:val="0"/>
          <w:numId w:val="1015"/>
        </w:numPr>
        <w:pStyle w:val="Compact"/>
      </w:pPr>
      <w:r>
        <w:rPr>
          <w:bCs/>
          <w:b/>
        </w:rPr>
        <w:t xml:space="preserve">Enhance Circularity:</w:t>
      </w:r>
      <w:r>
        <w:t xml:space="preserve"> </w:t>
      </w:r>
      <w:r>
        <w:t xml:space="preserve">Continue and expand take-back and recycling programs. Design for even greater recyclability and ease of disassembly to maximize end-of-life benefits.</w:t>
      </w:r>
    </w:p>
    <w:p>
      <w:pPr>
        <w:numPr>
          <w:ilvl w:val="0"/>
          <w:numId w:val="1015"/>
        </w:numPr>
        <w:pStyle w:val="Compact"/>
      </w:pPr>
      <w:r>
        <w:rPr>
          <w:bCs/>
          <w:b/>
        </w:rPr>
        <w:t xml:space="preserve">Supply Chain Engagement:</w:t>
      </w:r>
      <w:r>
        <w:t xml:space="preserve"> </w:t>
      </w:r>
      <w:r>
        <w:t xml:space="preserve">Collaborate with suppliers to identify and reduce emissions in the raw material extraction and processing stages.</w:t>
      </w:r>
    </w:p>
    <w:p>
      <w:pPr>
        <w:numPr>
          <w:ilvl w:val="0"/>
          <w:numId w:val="1015"/>
        </w:numPr>
        <w:pStyle w:val="Compact"/>
      </w:pPr>
      <w:r>
        <w:rPr>
          <w:bCs/>
          <w:b/>
        </w:rPr>
        <w:t xml:space="preserve">Renewable Energy Adoption:</w:t>
      </w:r>
      <w:r>
        <w:t xml:space="preserve"> </w:t>
      </w:r>
      <w:r>
        <w:t xml:space="preserve">Increase the percentage of renewable energy used in manufacturing facilities and encourage suppliers to do the same.</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mrevzfrkld</dc:title>
  <dc:creator/>
  <dc:description>Detailed Product Carbon Footprint (PCF) analysis report for \'mrevzfrkld\' by Senior Sustainability Consultant jurffuypxh for ehdtvmpgtf, adhering to GHG Protocol and 2026 LSR update.</dc:description>
  <cp:keywords/>
  <dcterms:created xsi:type="dcterms:W3CDTF">2026-07-15T11:39:00Z</dcterms:created>
  <dcterms:modified xsi:type="dcterms:W3CDTF">2026-07-15T11:39:00Z</dcterms:modified>
</cp:coreProperties>
</file>

<file path=docProps/custom.xml><?xml version="1.0" encoding="utf-8"?>
<Properties xmlns="http://schemas.openxmlformats.org/officeDocument/2006/custom-properties" xmlns:vt="http://schemas.openxmlformats.org/officeDocument/2006/docPropsVTypes"/>
</file>