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mrevulehdx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mrevulehdx</w:t>
      </w:r>
    </w:p>
    <w:p>
      <w:pPr>
        <w:pStyle w:val="BodyText"/>
      </w:pPr>
      <w:r>
        <w:t xml:space="preserve">Company Name:</w:t>
      </w:r>
      <w:r>
        <w:t xml:space="preserve"> </w:t>
      </w:r>
      <w:r>
        <w:rPr>
          <w:bCs/>
          <w:b/>
        </w:rPr>
        <w:t xml:space="preserve">tueexqeqst</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slxjmgdmol</w:t>
      </w:r>
    </w:p>
    <w:p>
      <w:pPr>
        <w:pStyle w:val="BodyText"/>
      </w:pPr>
      <w:r>
        <w:t xml:space="preserve">Disclaimer: This report is generated based on available data, illustrative placeholder values, and industry standards. Actual calculations require primary, specific company and supply chain data for high accuracy.</w:t>
      </w:r>
    </w:p>
    <w:bookmarkEnd w:id="20"/>
    <w:bookmarkStart w:id="50"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mrevulehdx</w:t>
      </w:r>
      <w:r>
        <w:t xml:space="preserve">, manufactured by</w:t>
      </w:r>
      <w:r>
        <w:t xml:space="preserve"> </w:t>
      </w:r>
      <w:r>
        <w:rPr>
          <w:bCs/>
          <w:b/>
        </w:rPr>
        <w:t xml:space="preserve">tueexqeqst</w:t>
      </w:r>
      <w:r>
        <w:t xml:space="preserve">. The analysis follows the Greenhouse Gas (GHG) Protocol standards, encompassing emissions across the product\'s entire lifecycle. It also incorporates the latest 2026 updates regarding the Land Sector and Removals (LSR) Standard and stringent Scope 3 reporting requirements. Due to the placeholder nature of some input parameters, illustrative values have been used for calculations to demonstrate the methodology and potential impact areas. The primary objective is to identify key emission hotspots and provide a foundational understanding for targeted decarbonization efforts.</w:t>
      </w:r>
    </w:p>
    <w:p>
      <w:r>
        <w:pict>
          <v:rect style="width:0;height:1.5pt" o:hralign="center" o:hrstd="t" o:hr="t"/>
        </w:pict>
      </w:r>
    </w:p>
    <w:bookmarkEnd w:id="21"/>
    <w:bookmarkStart w:id="26"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the product</w:t>
      </w:r>
      <w:r>
        <w:t xml:space="preserve"> </w:t>
      </w:r>
      <w:r>
        <w:rPr>
          <w:bCs/>
          <w:b/>
        </w:rPr>
        <w:t xml:space="preserve">mrevulehdx</w:t>
      </w:r>
      <w:r>
        <w:t xml:space="preserve">. This unit serves as the reference basis for all quantified environmental impacts throughout the product lifecycle.</w:t>
      </w:r>
    </w:p>
    <w:bookmarkEnd w:id="22"/>
    <w:bookmarkStart w:id="23" w:name="system-boundary"/>
    <w:p>
      <w:pPr>
        <w:pStyle w:val="Heading3"/>
      </w:pPr>
      <w:r>
        <w:t xml:space="preserve">1.2 System Boundary</w:t>
      </w:r>
    </w:p>
    <w:p>
      <w:pPr>
        <w:pStyle w:val="FirstParagraph"/>
      </w:pPr>
      <w:r>
        <w:t xml:space="preserve">The system boundary for this analysis extends from \'Cradle-to-Grave\', covering all stages from raw material acquisition, manufacturing, transportation, the product\'s use phase, and its end-of-life treatment. While the initial parameter specified "factory_gate", a comprehensive PCF, especially with the inclusion of Use Phase and End-of-Life parameters, necessitates a full lifecycle assessment to capture all significant emissions.</w:t>
      </w:r>
    </w:p>
    <w:p>
      <w:pPr>
        <w:numPr>
          <w:ilvl w:val="0"/>
          <w:numId w:val="1001"/>
        </w:numPr>
        <w:pStyle w:val="Compact"/>
      </w:pPr>
      <w:r>
        <w:rPr>
          <w:bCs/>
          <w:b/>
        </w:rPr>
        <w:t xml:space="preserve">Upstream (Cradle-to-Gate):</w:t>
      </w:r>
      <w:r>
        <w:t xml:space="preserve"> </w:t>
      </w:r>
      <w:r>
        <w:t xml:space="preserve">Extraction and processing of raw materials, manufacturing of components, and transportation to the final production facility.</w:t>
      </w:r>
    </w:p>
    <w:p>
      <w:pPr>
        <w:numPr>
          <w:ilvl w:val="0"/>
          <w:numId w:val="1001"/>
        </w:numPr>
        <w:pStyle w:val="Compact"/>
      </w:pPr>
      <w:r>
        <w:rPr>
          <w:bCs/>
          <w:b/>
        </w:rPr>
        <w:t xml:space="preserve">Core (Gate-to-Gate):</w:t>
      </w:r>
      <w:r>
        <w:t xml:space="preserve"> </w:t>
      </w:r>
      <w:r>
        <w:t xml:space="preserve">Production processes at the</w:t>
      </w:r>
      <w:r>
        <w:t xml:space="preserve"> </w:t>
      </w:r>
      <w:r>
        <w:rPr>
          <w:bCs/>
          <w:b/>
        </w:rPr>
        <w:t xml:space="preserve">tueexqeqst</w:t>
      </w:r>
      <w:r>
        <w:t xml:space="preserve"> </w:t>
      </w:r>
      <w:r>
        <w:t xml:space="preserve">facility, including direct and indirect energy consumption for assembly and packaging.</w:t>
      </w:r>
    </w:p>
    <w:p>
      <w:pPr>
        <w:numPr>
          <w:ilvl w:val="0"/>
          <w:numId w:val="1001"/>
        </w:numPr>
        <w:pStyle w:val="Compact"/>
      </w:pPr>
      <w:r>
        <w:rPr>
          <w:bCs/>
          <w:b/>
        </w:rPr>
        <w:t xml:space="preserve">Downstream (Gate-to-Grave):</w:t>
      </w:r>
      <w:r>
        <w:t xml:space="preserve"> </w:t>
      </w:r>
      <w:r>
        <w:t xml:space="preserve">Distribution to customers, the product\'s use phase, and its eventual disposal or recycling.</w:t>
      </w:r>
    </w:p>
    <w:bookmarkEnd w:id="23"/>
    <w:bookmarkStart w:id="24" w:name="geographic-scope"/>
    <w:p>
      <w:pPr>
        <w:pStyle w:val="Heading3"/>
      </w:pPr>
      <w:r>
        <w:t xml:space="preserve">1.3 Geographic Scope</w:t>
      </w:r>
    </w:p>
    <w:p>
      <w:pPr>
        <w:pStyle w:val="FirstParagraph"/>
      </w:pPr>
      <w:r>
        <w:t xml:space="preserve">The geographic scope covers a global supply chain, with a specific focus on manufacturing operations in</w:t>
      </w:r>
      <w:r>
        <w:t xml:space="preserve"> </w:t>
      </w:r>
      <w:r>
        <w:rPr>
          <w:bCs/>
          <w:b/>
        </w:rPr>
        <w:t xml:space="preserve">China</w:t>
      </w:r>
      <w:r>
        <w:t xml:space="preserve"> </w:t>
      </w:r>
      <w:r>
        <w:t xml:space="preserve">and a supply chain distribution focus on</w:t>
      </w:r>
      <w:r>
        <w:t xml:space="preserve"> </w:t>
      </w:r>
      <w:r>
        <w:rPr>
          <w:bCs/>
          <w:b/>
        </w:rPr>
        <w:t xml:space="preserve">Europe</w:t>
      </w:r>
      <w:r>
        <w:t xml:space="preserve">.</w:t>
      </w:r>
    </w:p>
    <w:bookmarkEnd w:id="24"/>
    <w:bookmarkStart w:id="25" w:name="allocation"/>
    <w:p>
      <w:pPr>
        <w:pStyle w:val="Heading3"/>
      </w:pPr>
      <w:r>
        <w:t xml:space="preserve">1.4 Allocation</w:t>
      </w:r>
    </w:p>
    <w:p>
      <w:pPr>
        <w:pStyle w:val="FirstParagraph"/>
      </w:pPr>
      <w:r>
        <w:t xml:space="preserve">Emissions are allocated based on physical parameters (e.g., mass, energy consumption) directly attributable to the functional unit. Co-product allocation, if applicable for specific processes, would be handled using mass-based or economic allocation methods as per GHG Protocol guidance.</w:t>
      </w:r>
    </w:p>
    <w:p>
      <w:r>
        <w:pict>
          <v:rect style="width:0;height:1.5pt" o:hralign="center" o:hrstd="t" o:hr="t"/>
        </w:pict>
      </w:r>
    </w:p>
    <w:bookmarkEnd w:id="25"/>
    <w:bookmarkEnd w:id="26"/>
    <w:bookmarkStart w:id="33" w:name="X07cf0ea829f60a4f8fa47c00f72a11793fbe483"/>
    <w:p>
      <w:pPr>
        <w:pStyle w:val="Heading2"/>
      </w:pPr>
      <w:r>
        <w:t xml:space="preserve">2. Lifecycle Mapping (LCI Inventory Stages) &amp; 3. Data Collection</w:t>
      </w:r>
    </w:p>
    <w:p>
      <w:pPr>
        <w:pStyle w:val="FirstParagraph"/>
      </w:pPr>
      <w:r>
        <w:t xml:space="preserve">This section details the product\'s lifecycle stages and the data inputs required for emission calculations. As several input parameters were provided as placeholders, illustrative numerical values and generic emission factors (from Ecoinvent/DEFRA equivalents) have been used for demonstration purposes. These assumed values are clearly identified.</w:t>
      </w:r>
    </w:p>
    <w:bookmarkStart w:id="28" w:name="X3635aa66c9e554f88c493fbe32dbabbdc9425d2"/>
    <w:p>
      <w:pPr>
        <w:pStyle w:val="Heading3"/>
      </w:pPr>
      <w:r>
        <w:t xml:space="preserve">3.1 Materials Acquisition &amp; Pre-processing (Scope 3, Upstream)</w:t>
      </w:r>
    </w:p>
    <w:p>
      <w:pPr>
        <w:pStyle w:val="FirstParagraph"/>
      </w:pPr>
      <w:r>
        <w:t xml:space="preserve">The Bill of Materials (BOM) for</w:t>
      </w:r>
      <w:r>
        <w:t xml:space="preserve"> </w:t>
      </w:r>
      <w:r>
        <w:rPr>
          <w:bCs/>
          <w:b/>
        </w:rPr>
        <w:t xml:space="preserve">mrevulehdx</w:t>
      </w:r>
      <w:r>
        <w:t xml:space="preserve">, typically provided as</w:t>
      </w:r>
      <w:r>
        <w:t xml:space="preserve"> </w:t>
      </w:r>
      <w:r>
        <w:rPr>
          <w:bCs/>
          <w:b/>
        </w:rPr>
        <w:t xml:space="preserve">kedgfhmp</w:t>
      </w:r>
      <w:r>
        <w:t xml:space="preserve">, is crucial for quantifying emissions from purchased goods and services (GHG Protocol Scope 3, Category 1). For this demonstration, an illustrative BOM following the specified format (ID, Description, Category, Process, Qty, Unit, Emission Factor, Total Carbon) is used. The \'Total Carbon\' values represent cradle-to-gate emissions for each material component.</w:t>
      </w:r>
    </w:p>
    <w:bookmarkStart w:id="27" w:name="X9ed8ae74a502f3fc4caca02c521a4a92e587ab1"/>
    <w:p>
      <w:pPr>
        <w:pStyle w:val="Heading4"/>
      </w:pPr>
      <w:r>
        <w:t xml:space="preserve">Illustrative Detailed Bill of Materials (BOM)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Illustrative Emission Factor (kgCO2e/unit or kg)</w:t>
            </w:r>
          </w:p>
        </w:tc>
        <w:tc>
          <w:tcPr/>
          <w:p>
            <w:pPr>
              <w:pStyle w:val="Compact"/>
              <w:jc w:val="left"/>
            </w:pPr>
            <w:r>
              <w:t xml:space="preserve">Illustrative 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002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Cutting/Folding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gridSpan w:val="7"/>
          </w:tcPr>
          <w:p>
            <w:pPr>
              <w:pStyle w:val="Compact"/>
              <w:jc w:val="right"/>
            </w:pPr>
            <w:r>
              <w:rPr>
                <w:bCs/>
                <w:b/>
              </w:rPr>
              <w:t xml:space="preserve">Subtotal Material Emissions (kgCO2e):</w:t>
            </w:r>
          </w:p>
        </w:tc>
        <w:tc>
          <w:tcPr/>
          <w:p>
            <w:pPr>
              <w:pStyle w:val="Compact"/>
              <w:jc w:val="left"/>
            </w:pPr>
            <w:r>
              <w:rPr>
                <w:bCs/>
                <w:b/>
              </w:rPr>
              <w:t xml:space="preserve">10.85</w:t>
            </w:r>
          </w:p>
        </w:tc>
      </w:tr>
    </w:tbl>
    <w:p>
      <w:pPr>
        <w:pStyle w:val="BodyText"/>
      </w:pPr>
      <w:r>
        <w:rPr>
          <w:iCs/>
          <w:i/>
        </w:rPr>
        <w:t xml:space="preserve">Note: \'Illustrative Emission Factor\' values are based on general industry averages from various sources and are used for demonstration as specific inputs for \'kedgfhmp\' were not provided. The \'Total Carbon\' values are derived from Qty * Illustrative Emission Factor for demonstration purposes.</w:t>
      </w:r>
    </w:p>
    <w:bookmarkEnd w:id="27"/>
    <w:bookmarkEnd w:id="28"/>
    <w:bookmarkStart w:id="29" w:name="X24552e9e93bd2e39eaa22dbfa2577a09ac9842c"/>
    <w:p>
      <w:pPr>
        <w:pStyle w:val="Heading3"/>
      </w:pPr>
      <w:r>
        <w:t xml:space="preserve">3.2 Manufacturing/Production (Scope 2, and minor Scope 1)</w:t>
      </w:r>
    </w:p>
    <w:p>
      <w:pPr>
        <w:pStyle w:val="FirstParagraph"/>
      </w:pPr>
      <w:r>
        <w:t xml:space="preserve">The manufacturing process for</w:t>
      </w:r>
      <w:r>
        <w:t xml:space="preserve"> </w:t>
      </w:r>
      <w:r>
        <w:rPr>
          <w:bCs/>
          <w:b/>
        </w:rPr>
        <w:t xml:space="preserve">mrevulehdx</w:t>
      </w:r>
      <w:r>
        <w:t xml:space="preserve"> </w:t>
      </w:r>
      <w:r>
        <w:t xml:space="preserve">takes place in</w:t>
      </w:r>
      <w:r>
        <w:t xml:space="preserve"> </w:t>
      </w:r>
      <w:r>
        <w:rPr>
          <w:bCs/>
          <w:b/>
        </w:rPr>
        <w:t xml:space="preserve">China</w:t>
      </w:r>
      <w:r>
        <w:t xml:space="preserve">. Energy consumption is a key driver of emissions in this stage.</w:t>
      </w:r>
    </w:p>
    <w:p>
      <w:pPr>
        <w:numPr>
          <w:ilvl w:val="0"/>
          <w:numId w:val="1002"/>
        </w:numPr>
        <w:pStyle w:val="Compact"/>
      </w:pPr>
      <w:r>
        <w:rPr>
          <w:bCs/>
          <w:b/>
        </w:rPr>
        <w:t xml:space="preserve">Illustrative Energy Intensity (kWh/unit):</w:t>
      </w:r>
      <w:r>
        <w:t xml:space="preserve"> </w:t>
      </w:r>
      <w:r>
        <w:t xml:space="preserve">5 kWh/unit (based on placeholder</w:t>
      </w:r>
      <w:r>
        <w:t xml:space="preserve"> </w:t>
      </w:r>
      <w:r>
        <w:rPr>
          <w:bCs/>
          <w:b/>
        </w:rPr>
        <w:t xml:space="preserve">mlgkjlueig</w:t>
      </w:r>
      <w:r>
        <w:t xml:space="preserve">)</w:t>
      </w:r>
    </w:p>
    <w:p>
      <w:pPr>
        <w:numPr>
          <w:ilvl w:val="0"/>
          <w:numId w:val="1002"/>
        </w:numPr>
        <w:pStyle w:val="Compact"/>
      </w:pPr>
      <w:r>
        <w:rPr>
          <w:bCs/>
          <w:b/>
        </w:rPr>
        <w:t xml:space="preserve">Illustrative Renewable Energy Usage:</w:t>
      </w:r>
      <w:r>
        <w:t xml:space="preserve"> </w:t>
      </w:r>
      <w:r>
        <w:t xml:space="preserve">30% (based on placeholder</w:t>
      </w:r>
      <w:r>
        <w:t xml:space="preserve"> </w:t>
      </w:r>
      <w:r>
        <w:rPr>
          <w:bCs/>
          <w:b/>
        </w:rPr>
        <w:t xml:space="preserve">znwmnoqtzn</w:t>
      </w:r>
      <w:r>
        <w:t xml:space="preserve">)</w:t>
      </w:r>
    </w:p>
    <w:p>
      <w:pPr>
        <w:numPr>
          <w:ilvl w:val="0"/>
          <w:numId w:val="1002"/>
        </w:numPr>
        <w:pStyle w:val="Compact"/>
      </w:pPr>
      <w:r>
        <w:rPr>
          <w:bCs/>
          <w:b/>
        </w:rPr>
        <w:t xml:space="preserve">Grid Electricity Emission Factor (China):</w:t>
      </w:r>
      <w:r>
        <w:t xml:space="preserve"> </w:t>
      </w:r>
      <w:r>
        <w:t xml:space="preserve">0.57 kgCO2e/kWh (National Average, illustrative)</w:t>
      </w:r>
    </w:p>
    <w:bookmarkEnd w:id="29"/>
    <w:bookmarkStart w:id="30" w:name="Xa72cd89f200eee69afd134ad22c65583d62e21f"/>
    <w:p>
      <w:pPr>
        <w:pStyle w:val="Heading3"/>
      </w:pPr>
      <w:r>
        <w:t xml:space="preserve">3.3 Transportation (Scope 3, Upstream &amp; Downstream)</w:t>
      </w:r>
    </w:p>
    <w:p>
      <w:pPr>
        <w:pStyle w:val="FirstParagraph"/>
      </w:pPr>
      <w:r>
        <w:t xml:space="preserve">Logistics data is critical for quantifying transportation emissions (GHG Protocol Scope 3, Categories 4 &amp; 9). For this analysis, the geographic scope includes a supply chain focused on Europe.</w:t>
      </w:r>
    </w:p>
    <w:p>
      <w:pPr>
        <w:numPr>
          <w:ilvl w:val="0"/>
          <w:numId w:val="1003"/>
        </w:numPr>
        <w:pStyle w:val="Compact"/>
      </w:pPr>
      <w:r>
        <w:rPr>
          <w:bCs/>
          <w:b/>
        </w:rPr>
        <w:t xml:space="preserve">Illustrative Transport Mode (Primary):</w:t>
      </w:r>
      <w:r>
        <w:t xml:space="preserve"> </w:t>
      </w:r>
      <w:r>
        <w:t xml:space="preserve">Sea Freight (based on placeholder</w:t>
      </w:r>
      <w:r>
        <w:t xml:space="preserve"> </w:t>
      </w:r>
      <w:r>
        <w:rPr>
          <w:bCs/>
          <w:b/>
        </w:rPr>
        <w:t xml:space="preserve">Select Mode</w:t>
      </w:r>
      <w:r>
        <w:t xml:space="preserve">)</w:t>
      </w:r>
    </w:p>
    <w:p>
      <w:pPr>
        <w:numPr>
          <w:ilvl w:val="0"/>
          <w:numId w:val="1003"/>
        </w:numPr>
        <w:pStyle w:val="Compact"/>
      </w:pPr>
      <w:r>
        <w:rPr>
          <w:bCs/>
          <w:b/>
        </w:rPr>
        <w:t xml:space="preserve">Illustrative Transport Distance (Upstream/Midstream):</w:t>
      </w:r>
      <w:r>
        <w:t xml:space="preserve"> </w:t>
      </w:r>
      <w:r>
        <w:t xml:space="preserve">10,000 km (based on placeholder</w:t>
      </w:r>
      <w:r>
        <w:t xml:space="preserve"> </w:t>
      </w:r>
      <w:r>
        <w:rPr>
          <w:bCs/>
          <w:b/>
        </w:rPr>
        <w:t xml:space="preserve">fyrynxdwhv</w:t>
      </w:r>
      <w:r>
        <w:t xml:space="preserve">, assuming raw materials/components shipped to China, then to Europe)</w:t>
      </w:r>
    </w:p>
    <w:p>
      <w:pPr>
        <w:numPr>
          <w:ilvl w:val="0"/>
          <w:numId w:val="1003"/>
        </w:numPr>
        <w:pStyle w:val="Compact"/>
      </w:pPr>
      <w:r>
        <w:rPr>
          <w:bCs/>
          <w:b/>
        </w:rPr>
        <w:t xml:space="preserve">Illustrative Last-Mile Delivery Channel:</w:t>
      </w:r>
      <w:r>
        <w:t xml:space="preserve"> </w:t>
      </w:r>
      <w:r>
        <w:t xml:space="preserve">Road Freight (Light Commercial Vehicle) (based on placeholder</w:t>
      </w:r>
      <w:r>
        <w:t xml:space="preserve"> </w:t>
      </w:r>
      <w:r>
        <w:rPr>
          <w:bCs/>
          <w:b/>
        </w:rPr>
        <w:t xml:space="preserve">Delivery Type</w:t>
      </w:r>
      <w:r>
        <w:t xml:space="preserve">)</w:t>
      </w:r>
    </w:p>
    <w:p>
      <w:pPr>
        <w:numPr>
          <w:ilvl w:val="0"/>
          <w:numId w:val="1003"/>
        </w:numPr>
        <w:pStyle w:val="Compact"/>
      </w:pPr>
      <w:r>
        <w:rPr>
          <w:bCs/>
          <w:b/>
        </w:rPr>
        <w:t xml:space="preserve">Illustrative Last-Mile Delivery Distance:</w:t>
      </w:r>
      <w:r>
        <w:t xml:space="preserve"> </w:t>
      </w:r>
      <w:r>
        <w:t xml:space="preserve">500 km (assumed for European distribution)</w:t>
      </w:r>
    </w:p>
    <w:p>
      <w:pPr>
        <w:numPr>
          <w:ilvl w:val="0"/>
          <w:numId w:val="1003"/>
        </w:numPr>
        <w:pStyle w:val="Compact"/>
      </w:pPr>
      <w:r>
        <w:rPr>
          <w:bCs/>
          <w:b/>
        </w:rPr>
        <w:t xml:space="preserve">Illustrative Sea Freight Emission Factor:</w:t>
      </w:r>
      <w:r>
        <w:t xml:space="preserve"> </w:t>
      </w:r>
      <w:r>
        <w:t xml:space="preserve">0.016 kgCO2e/tonne-km (average container ship)</w:t>
      </w:r>
    </w:p>
    <w:p>
      <w:pPr>
        <w:numPr>
          <w:ilvl w:val="0"/>
          <w:numId w:val="1003"/>
        </w:numPr>
        <w:pStyle w:val="Compact"/>
      </w:pPr>
      <w:r>
        <w:rPr>
          <w:bCs/>
          <w:b/>
        </w:rPr>
        <w:t xml:space="preserve">Illustrative Road Freight Emission Factor:</w:t>
      </w:r>
      <w:r>
        <w:t xml:space="preserve"> </w:t>
      </w:r>
      <w:r>
        <w:t xml:space="preserve">0.10 kgCO2e/tonne-km (illustrative for light commercial vehicle)</w:t>
      </w:r>
    </w:p>
    <w:p>
      <w:pPr>
        <w:numPr>
          <w:ilvl w:val="0"/>
          <w:numId w:val="1003"/>
        </w:numPr>
        <w:pStyle w:val="Compact"/>
      </w:pPr>
      <w:r>
        <w:rPr>
          <w:bCs/>
          <w:b/>
        </w:rPr>
        <w:t xml:space="preserve">Illustrative Product Weight:</w:t>
      </w:r>
      <w:r>
        <w:t xml:space="preserve"> </w:t>
      </w:r>
      <w:r>
        <w:t xml:space="preserve">1.0 kg (based on sum of BOM item quantities)</w:t>
      </w:r>
    </w:p>
    <w:bookmarkEnd w:id="30"/>
    <w:bookmarkStart w:id="31" w:name="use-phase-scope-3-downstream"/>
    <w:p>
      <w:pPr>
        <w:pStyle w:val="Heading3"/>
      </w:pPr>
      <w:r>
        <w:t xml:space="preserve">3.4 Use Phase (Scope 3, Downstream)</w:t>
      </w:r>
    </w:p>
    <w:p>
      <w:pPr>
        <w:pStyle w:val="FirstParagraph"/>
      </w:pPr>
      <w:r>
        <w:t xml:space="preserve">Emissions during the product\'s use phase (GHG Protocol Scope 3, Category 11) depend on its lifespan and energy consumption by the end-user.</w:t>
      </w:r>
    </w:p>
    <w:p>
      <w:pPr>
        <w:numPr>
          <w:ilvl w:val="0"/>
          <w:numId w:val="1004"/>
        </w:numPr>
        <w:pStyle w:val="Compact"/>
      </w:pPr>
      <w:r>
        <w:rPr>
          <w:bCs/>
          <w:b/>
        </w:rPr>
        <w:t xml:space="preserve">Illustrative Product Lifespan:</w:t>
      </w:r>
      <w:r>
        <w:t xml:space="preserve"> </w:t>
      </w:r>
      <w:r>
        <w:t xml:space="preserve">5 years (based on placeholder</w:t>
      </w:r>
      <w:r>
        <w:t xml:space="preserve"> </w:t>
      </w:r>
      <w:r>
        <w:rPr>
          <w:bCs/>
          <w:b/>
        </w:rPr>
        <w:t xml:space="preserve">mkduoxzdiw</w:t>
      </w:r>
      <w:r>
        <w:t xml:space="preserve">)</w:t>
      </w:r>
    </w:p>
    <w:p>
      <w:pPr>
        <w:numPr>
          <w:ilvl w:val="0"/>
          <w:numId w:val="1004"/>
        </w:numPr>
        <w:pStyle w:val="Compact"/>
      </w:pPr>
      <w:r>
        <w:rPr>
          <w:bCs/>
          <w:b/>
        </w:rPr>
        <w:t xml:space="preserve">Illustrative Energy Consumption in Use:</w:t>
      </w:r>
      <w:r>
        <w:t xml:space="preserve"> </w:t>
      </w:r>
      <w:r>
        <w:t xml:space="preserve">10 kWh/year (based on placeholder</w:t>
      </w:r>
      <w:r>
        <w:t xml:space="preserve"> </w:t>
      </w:r>
      <w:r>
        <w:rPr>
          <w:bCs/>
          <w:b/>
        </w:rPr>
        <w:t xml:space="preserve">ujvhqwpszd</w:t>
      </w:r>
      <w:r>
        <w:t xml:space="preserve">)</w:t>
      </w:r>
    </w:p>
    <w:p>
      <w:pPr>
        <w:numPr>
          <w:ilvl w:val="0"/>
          <w:numId w:val="1004"/>
        </w:numPr>
        <w:pStyle w:val="Compact"/>
      </w:pPr>
      <w:r>
        <w:rPr>
          <w:bCs/>
          <w:b/>
        </w:rPr>
        <w:t xml:space="preserve">Illustrative End-User Electricity Emission Factor (Europe Average):</w:t>
      </w:r>
      <w:r>
        <w:t xml:space="preserve"> </w:t>
      </w:r>
      <w:r>
        <w:t xml:space="preserve">0.238 kgCO2e/kWh (illustrative for EU grid mix)</w:t>
      </w:r>
    </w:p>
    <w:bookmarkEnd w:id="31"/>
    <w:bookmarkStart w:id="32" w:name="X0b1a7869ec5c89eda6252c7ad7e638ee66010db"/>
    <w:p>
      <w:pPr>
        <w:pStyle w:val="Heading3"/>
      </w:pPr>
      <w:r>
        <w:t xml:space="preserve">3.5 End-of-Life (EoL) Scenarios (Scope 3, Downstream)</w:t>
      </w:r>
    </w:p>
    <w:p>
      <w:pPr>
        <w:pStyle w:val="FirstParagraph"/>
      </w:pPr>
      <w:r>
        <w:t xml:space="preserve">The end-of-life treatment of</w:t>
      </w:r>
      <w:r>
        <w:t xml:space="preserve"> </w:t>
      </w:r>
      <w:r>
        <w:rPr>
          <w:bCs/>
          <w:b/>
        </w:rPr>
        <w:t xml:space="preserve">mrevulehdx</w:t>
      </w:r>
      <w:r>
        <w:t xml:space="preserve"> </w:t>
      </w:r>
      <w:r>
        <w:t xml:space="preserve">impacts its overall footprint (GHG Protocol Scope 3, Category 12).</w:t>
      </w:r>
    </w:p>
    <w:p>
      <w:pPr>
        <w:numPr>
          <w:ilvl w:val="0"/>
          <w:numId w:val="1005"/>
        </w:numPr>
        <w:pStyle w:val="Compact"/>
      </w:pPr>
      <w:r>
        <w:rPr>
          <w:bCs/>
          <w:b/>
        </w:rPr>
        <w:t xml:space="preserve">Illustrative Recyclability Percentage:</w:t>
      </w:r>
      <w:r>
        <w:t xml:space="preserve"> </w:t>
      </w:r>
      <w:r>
        <w:t xml:space="preserve">70% (based on placeholder</w:t>
      </w:r>
      <w:r>
        <w:t xml:space="preserve"> </w:t>
      </w:r>
      <w:r>
        <w:rPr>
          <w:bCs/>
          <w:b/>
        </w:rPr>
        <w:t xml:space="preserve">flkoroestz</w:t>
      </w:r>
      <w:r>
        <w:t xml:space="preserve">)</w:t>
      </w:r>
    </w:p>
    <w:p>
      <w:pPr>
        <w:numPr>
          <w:ilvl w:val="0"/>
          <w:numId w:val="1005"/>
        </w:numPr>
        <w:pStyle w:val="Compact"/>
      </w:pPr>
      <w:r>
        <w:rPr>
          <w:bCs/>
          <w:b/>
        </w:rPr>
        <w:t xml:space="preserve">Illustrative Circular/Take-back Programs:</w:t>
      </w:r>
      <w:r>
        <w:t xml:space="preserve"> </w:t>
      </w:r>
      <w:r>
        <w:t xml:space="preserve">Product take-back scheme in place (based on placeholder</w:t>
      </w:r>
      <w:r>
        <w:t xml:space="preserve"> </w:t>
      </w:r>
      <w:r>
        <w:rPr>
          <w:bCs/>
          <w:b/>
        </w:rPr>
        <w:t xml:space="preserve">wdtwyvhkgp</w:t>
      </w:r>
      <w:r>
        <w:t xml:space="preserve">)</w:t>
      </w:r>
    </w:p>
    <w:p>
      <w:pPr>
        <w:numPr>
          <w:ilvl w:val="0"/>
          <w:numId w:val="1005"/>
        </w:numPr>
        <w:pStyle w:val="Compact"/>
      </w:pPr>
      <w:r>
        <w:rPr>
          <w:bCs/>
          <w:b/>
        </w:rPr>
        <w:t xml:space="preserve">Illustrative EoL Emissions/Savings:</w:t>
      </w:r>
      <w:r>
        <w:t xml:space="preserve"> </w:t>
      </w:r>
      <w:r>
        <w:t xml:space="preserve">For simplicity, recycling is assumed to offer a credit against virgin material production. A conservative credit of 50% of virgin material emissions for the recyclable portion is used for demonstration.</w:t>
      </w:r>
    </w:p>
    <w:p>
      <w:r>
        <w:pict>
          <v:rect style="width:0;height:1.5pt" o:hralign="center" o:hrstd="t" o:hr="t"/>
        </w:pict>
      </w:r>
    </w:p>
    <w:bookmarkEnd w:id="32"/>
    <w:bookmarkEnd w:id="33"/>
    <w:bookmarkStart w:id="45" w:name="Xdd1c2ba429305467bad58a0828410d9d0fce25c"/>
    <w:p>
      <w:pPr>
        <w:pStyle w:val="Heading2"/>
      </w:pPr>
      <w:r>
        <w:t xml:space="preserve">4. Emissions Calculation (Activity * Emission Factor = CO2e)</w:t>
      </w:r>
    </w:p>
    <w:p>
      <w:pPr>
        <w:pStyle w:val="FirstParagraph"/>
      </w:pPr>
      <w:r>
        <w:t xml:space="preserve">Emissions are categorized according to the GHG Protocol\'s three scopes, considering the illustrative data points and industry-standard emission factors.</w:t>
      </w:r>
    </w:p>
    <w:bookmarkStart w:id="34" w:name="scope-1-emissions-direct-ghg-emissions"/>
    <w:p>
      <w:pPr>
        <w:pStyle w:val="Heading3"/>
      </w:pPr>
      <w:r>
        <w:t xml:space="preserve">4.1 Scope 1 Emissions (Direct GHG Emissions)</w:t>
      </w:r>
    </w:p>
    <w:p>
      <w:pPr>
        <w:pStyle w:val="FirstParagraph"/>
      </w:pPr>
      <w:r>
        <w:t xml:space="preserve">For a product carbon footprint, Scope 1 emissions typically refer to direct emissions from sources owned or controlled by the reporting company, such as fuel combustion in owned vehicles or stationary combustion at the manufacturing facility. In PCF, these are often integrated into the manufacturing stage. Given the system boundary focusing on the product unit, direct emissions (e.g., from factory boilers directly attributable to</w:t>
      </w:r>
      <w:r>
        <w:t xml:space="preserve"> </w:t>
      </w:r>
      <w:r>
        <w:rPr>
          <w:bCs/>
          <w:b/>
        </w:rPr>
        <w:t xml:space="preserve">mrevulehdx</w:t>
      </w:r>
      <w:r>
        <w:t xml:space="preserve"> </w:t>
      </w:r>
      <w:r>
        <w:t xml:space="preserve">production) are assumed to be negligible or accounted for within the purchased energy impact where electricity is the primary energy input. If company-owned transport were used in last-mile delivery, those would fall under Scope 1. As \'Select Mode\' and \'Delivery Type\' are placeholders, transport is generally allocated to Scope 3 unless specifically identified as company-owned and operated.</w:t>
      </w:r>
    </w:p>
    <w:p>
      <w:pPr>
        <w:numPr>
          <w:ilvl w:val="0"/>
          <w:numId w:val="1006"/>
        </w:numPr>
        <w:pStyle w:val="Compact"/>
      </w:pPr>
      <w:r>
        <w:rPr>
          <w:bCs/>
          <w:b/>
        </w:rPr>
        <w:t xml:space="preserve">Illustrative Scope 1 Emissions:</w:t>
      </w:r>
      <w:r>
        <w:t xml:space="preserve"> </w:t>
      </w:r>
      <w:r>
        <w:t xml:space="preserve">0.0 kgCO2e/unit (assumed negligible for product-specific direct emissions)</w:t>
      </w:r>
    </w:p>
    <w:bookmarkEnd w:id="34"/>
    <w:bookmarkStart w:id="35" w:name="Xc118c5980d2487cfb91fc574365371ea546cad7"/>
    <w:p>
      <w:pPr>
        <w:pStyle w:val="Heading3"/>
      </w:pPr>
      <w:r>
        <w:t xml:space="preserve">4.2 Scope 2 Emissions (Indirect GHG Emissions from Purchased Energy)</w:t>
      </w:r>
    </w:p>
    <w:p>
      <w:pPr>
        <w:pStyle w:val="FirstParagraph"/>
      </w:pPr>
      <w:r>
        <w:t xml:space="preserve">Scope 2 emissions account for GHG emissions from the generation of purchased electricity consumed by</w:t>
      </w:r>
      <w:r>
        <w:t xml:space="preserve"> </w:t>
      </w:r>
      <w:r>
        <w:rPr>
          <w:bCs/>
          <w:b/>
        </w:rPr>
        <w:t xml:space="preserve">tueexqeqst</w:t>
      </w:r>
      <w:r>
        <w:t xml:space="preserve"> </w:t>
      </w:r>
      <w:r>
        <w:t xml:space="preserve">for the production of</w:t>
      </w:r>
      <w:r>
        <w:t xml:space="preserve"> </w:t>
      </w:r>
      <w:r>
        <w:rPr>
          <w:bCs/>
          <w:b/>
        </w:rPr>
        <w:t xml:space="preserve">mrevulehdx</w:t>
      </w:r>
      <w:r>
        <w:t xml:space="preserve"> </w:t>
      </w:r>
      <w:r>
        <w:t xml:space="preserve">in China.</w:t>
      </w:r>
    </w:p>
    <w:p>
      <w:pPr>
        <w:numPr>
          <w:ilvl w:val="0"/>
          <w:numId w:val="1007"/>
        </w:numPr>
        <w:pStyle w:val="Compact"/>
      </w:pPr>
      <w:r>
        <w:t xml:space="preserve">Total Energy Consumed: 5 kWh/unit</w:t>
      </w:r>
    </w:p>
    <w:p>
      <w:pPr>
        <w:numPr>
          <w:ilvl w:val="0"/>
          <w:numId w:val="1007"/>
        </w:numPr>
        <w:pStyle w:val="Compact"/>
      </w:pPr>
      <w:r>
        <w:t xml:space="preserve">Renewable Energy Portion: 30%</w:t>
      </w:r>
    </w:p>
    <w:p>
      <w:pPr>
        <w:numPr>
          <w:ilvl w:val="0"/>
          <w:numId w:val="1007"/>
        </w:numPr>
        <w:pStyle w:val="Compact"/>
      </w:pPr>
      <w:r>
        <w:t xml:space="preserve">Non-renewable Energy Portion: 70% (5 kWh/unit * 0.70 = 3.5 kWh/unit)</w:t>
      </w:r>
    </w:p>
    <w:p>
      <w:pPr>
        <w:numPr>
          <w:ilvl w:val="0"/>
          <w:numId w:val="1007"/>
        </w:numPr>
        <w:pStyle w:val="Compact"/>
      </w:pPr>
      <w:r>
        <w:t xml:space="preserve">Emission Factor (China Grid): 0.57 kgCO2e/kWh</w:t>
      </w:r>
    </w:p>
    <w:p>
      <w:pPr>
        <w:numPr>
          <w:ilvl w:val="0"/>
          <w:numId w:val="1007"/>
        </w:numPr>
        <w:pStyle w:val="Compact"/>
      </w:pPr>
      <w:r>
        <w:rPr>
          <w:bCs/>
          <w:b/>
        </w:rPr>
        <w:t xml:space="preserve">Calculation:</w:t>
      </w:r>
      <w:r>
        <w:t xml:space="preserve"> </w:t>
      </w:r>
      <w:r>
        <w:t xml:space="preserve">3.5 kWh/unit * 0.57 kgCO2e/kWh = 1.995 kgCO2e/unit</w:t>
      </w:r>
    </w:p>
    <w:p>
      <w:pPr>
        <w:numPr>
          <w:ilvl w:val="0"/>
          <w:numId w:val="1007"/>
        </w:numPr>
        <w:pStyle w:val="Compact"/>
      </w:pPr>
      <w:r>
        <w:rPr>
          <w:bCs/>
          <w:b/>
        </w:rPr>
        <w:t xml:space="preserve">Total Scope 2 Emissions:</w:t>
      </w:r>
      <w:r>
        <w:t xml:space="preserve"> </w:t>
      </w:r>
      <w:r>
        <w:t xml:space="preserve">1.995 kgCO2e/unit</w:t>
      </w:r>
    </w:p>
    <w:bookmarkEnd w:id="35"/>
    <w:bookmarkStart w:id="41" w:name="X56360cf9e82e07fa48b70f7de42943c3c755dae"/>
    <w:p>
      <w:pPr>
        <w:pStyle w:val="Heading3"/>
      </w:pPr>
      <w:r>
        <w:t xml:space="preserve">4.3 Scope 3 Emissions (Other Indirect GHG Emissions in the Value Chain)</w:t>
      </w:r>
    </w:p>
    <w:p>
      <w:pPr>
        <w:pStyle w:val="FirstParagraph"/>
      </w:pPr>
      <w:r>
        <w:t xml:space="preserve">Scope 3 emissions cover all other indirect emissions that occur in the value chain, both upstream and downstream. These typically represent the largest portion of a product\'s carbon footprint.</w:t>
      </w:r>
    </w:p>
    <w:bookmarkStart w:id="36" w:name="Xe0ac96a1e8a24ab825931d79d65a114ba0aea01"/>
    <w:p>
      <w:pPr>
        <w:pStyle w:val="Heading4"/>
      </w:pPr>
      <w:r>
        <w:t xml:space="preserve">4.3.1 Materials Acquisition &amp; Pre-processing (Category 1: Purchased Goods and Services)</w:t>
      </w:r>
    </w:p>
    <w:p>
      <w:pPr>
        <w:pStyle w:val="FirstParagraph"/>
      </w:pPr>
      <w:r>
        <w:t xml:space="preserve">Based on the illustrative BOM data provided:</w:t>
      </w:r>
    </w:p>
    <w:p>
      <w:pPr>
        <w:numPr>
          <w:ilvl w:val="0"/>
          <w:numId w:val="1008"/>
        </w:numPr>
        <w:pStyle w:val="Compact"/>
      </w:pPr>
      <w:r>
        <w:rPr>
          <w:bCs/>
          <w:b/>
        </w:rPr>
        <w:t xml:space="preserve">Total Material Emissions:</w:t>
      </w:r>
      <w:r>
        <w:t xml:space="preserve"> </w:t>
      </w:r>
      <w:r>
        <w:t xml:space="preserve">10.85 kgCO2e/unit (from sum of \'Total Carbon\' in BOM table)</w:t>
      </w:r>
    </w:p>
    <w:bookmarkEnd w:id="36"/>
    <w:bookmarkStart w:id="37" w:name="X1ba14597aa58affb2f1bc7a69940c64f4addd9d"/>
    <w:p>
      <w:pPr>
        <w:pStyle w:val="Heading4"/>
      </w:pPr>
      <w:r>
        <w:t xml:space="preserve">4.3.2 Upstream Transportation and Distribution (Category 4)</w:t>
      </w:r>
    </w:p>
    <w:p>
      <w:pPr>
        <w:pStyle w:val="FirstParagraph"/>
      </w:pPr>
      <w:r>
        <w:t xml:space="preserve">This includes transportation of raw materials and components to the manufacturing facility.</w:t>
      </w:r>
    </w:p>
    <w:p>
      <w:pPr>
        <w:numPr>
          <w:ilvl w:val="0"/>
          <w:numId w:val="1009"/>
        </w:numPr>
        <w:pStyle w:val="Compact"/>
      </w:pPr>
      <w:r>
        <w:t xml:space="preserve">Illustrative Product Weight: 1.0 kg = 0.001 tonnes</w:t>
      </w:r>
    </w:p>
    <w:p>
      <w:pPr>
        <w:numPr>
          <w:ilvl w:val="0"/>
          <w:numId w:val="1009"/>
        </w:numPr>
        <w:pStyle w:val="Compact"/>
      </w:pPr>
      <w:r>
        <w:t xml:space="preserve">Illustrative Transport Distance: 10,000 km</w:t>
      </w:r>
    </w:p>
    <w:p>
      <w:pPr>
        <w:numPr>
          <w:ilvl w:val="0"/>
          <w:numId w:val="1009"/>
        </w:numPr>
        <w:pStyle w:val="Compact"/>
      </w:pPr>
      <w:r>
        <w:t xml:space="preserve">Illustrative Transport Mode: Sea Freight (average container ship)</w:t>
      </w:r>
    </w:p>
    <w:p>
      <w:pPr>
        <w:numPr>
          <w:ilvl w:val="0"/>
          <w:numId w:val="1009"/>
        </w:numPr>
        <w:pStyle w:val="Compact"/>
      </w:pPr>
      <w:r>
        <w:t xml:space="preserve">Emission Factor: 0.016 kgCO2e/tonne-km</w:t>
      </w:r>
    </w:p>
    <w:p>
      <w:pPr>
        <w:numPr>
          <w:ilvl w:val="0"/>
          <w:numId w:val="1009"/>
        </w:numPr>
        <w:pStyle w:val="Compact"/>
      </w:pPr>
      <w:r>
        <w:rPr>
          <w:bCs/>
          <w:b/>
        </w:rPr>
        <w:t xml:space="preserve">Calculation:</w:t>
      </w:r>
      <w:r>
        <w:t xml:space="preserve"> </w:t>
      </w:r>
      <w:r>
        <w:t xml:space="preserve">0.001 tonnes * 10,000 km * 0.016 kgCO2e/tonne-km = 0.16 kgCO2e/unit</w:t>
      </w:r>
    </w:p>
    <w:p>
      <w:pPr>
        <w:numPr>
          <w:ilvl w:val="0"/>
          <w:numId w:val="1009"/>
        </w:numPr>
        <w:pStyle w:val="Compact"/>
      </w:pPr>
      <w:r>
        <w:rPr>
          <w:bCs/>
          <w:b/>
        </w:rPr>
        <w:t xml:space="preserve">Total Upstream Transport Emissions:</w:t>
      </w:r>
      <w:r>
        <w:t xml:space="preserve"> </w:t>
      </w:r>
      <w:r>
        <w:t xml:space="preserve">0.16 kgCO2e/unit</w:t>
      </w:r>
    </w:p>
    <w:bookmarkEnd w:id="37"/>
    <w:bookmarkStart w:id="38" w:name="X4a4e8e3b229fc696037344f6caf20042bf5cbd8"/>
    <w:p>
      <w:pPr>
        <w:pStyle w:val="Heading4"/>
      </w:pPr>
      <w:r>
        <w:t xml:space="preserve">4.3.3 Downstream Transportation and Distribution (Category 9)</w:t>
      </w:r>
    </w:p>
    <w:p>
      <w:pPr>
        <w:pStyle w:val="FirstParagraph"/>
      </w:pPr>
      <w:r>
        <w:t xml:space="preserve">This includes transportation of the finished product to the end-user, specifically the last-mile delivery.</w:t>
      </w:r>
    </w:p>
    <w:p>
      <w:pPr>
        <w:numPr>
          <w:ilvl w:val="0"/>
          <w:numId w:val="1010"/>
        </w:numPr>
        <w:pStyle w:val="Compact"/>
      </w:pPr>
      <w:r>
        <w:t xml:space="preserve">Illustrative Product Weight: 1.0 kg = 0.001 tonnes</w:t>
      </w:r>
    </w:p>
    <w:p>
      <w:pPr>
        <w:numPr>
          <w:ilvl w:val="0"/>
          <w:numId w:val="1010"/>
        </w:numPr>
        <w:pStyle w:val="Compact"/>
      </w:pPr>
      <w:r>
        <w:t xml:space="preserve">Illustrative Last-Mile Delivery Distance: 500 km</w:t>
      </w:r>
    </w:p>
    <w:p>
      <w:pPr>
        <w:numPr>
          <w:ilvl w:val="0"/>
          <w:numId w:val="1010"/>
        </w:numPr>
        <w:pStyle w:val="Compact"/>
      </w:pPr>
      <w:r>
        <w:t xml:space="preserve">Illustrative Delivery Channel: Road Freight (Light Commercial Vehicle)</w:t>
      </w:r>
    </w:p>
    <w:p>
      <w:pPr>
        <w:numPr>
          <w:ilvl w:val="0"/>
          <w:numId w:val="1010"/>
        </w:numPr>
        <w:pStyle w:val="Compact"/>
      </w:pPr>
      <w:r>
        <w:t xml:space="preserve">Emission Factor: 0.10 kgCO2e/tonne-km (illustrative)</w:t>
      </w:r>
    </w:p>
    <w:p>
      <w:pPr>
        <w:numPr>
          <w:ilvl w:val="0"/>
          <w:numId w:val="1010"/>
        </w:numPr>
        <w:pStyle w:val="Compact"/>
      </w:pPr>
      <w:r>
        <w:rPr>
          <w:bCs/>
          <w:b/>
        </w:rPr>
        <w:t xml:space="preserve">Calculation:</w:t>
      </w:r>
      <w:r>
        <w:t xml:space="preserve"> </w:t>
      </w:r>
      <w:r>
        <w:t xml:space="preserve">0.001 tonnes * 500 km * 0.10 kgCO2e/tonne-km = 0.05 kgCO2e/unit</w:t>
      </w:r>
    </w:p>
    <w:p>
      <w:pPr>
        <w:numPr>
          <w:ilvl w:val="0"/>
          <w:numId w:val="1010"/>
        </w:numPr>
        <w:pStyle w:val="Compact"/>
      </w:pPr>
      <w:r>
        <w:rPr>
          <w:bCs/>
          <w:b/>
        </w:rPr>
        <w:t xml:space="preserve">Total Downstream Transport Emissions:</w:t>
      </w:r>
      <w:r>
        <w:t xml:space="preserve"> </w:t>
      </w:r>
      <w:r>
        <w:t xml:space="preserve">0.05 kgCO2e/unit</w:t>
      </w:r>
    </w:p>
    <w:bookmarkEnd w:id="38"/>
    <w:bookmarkStart w:id="39" w:name="use-of-sold-products-category-11"/>
    <w:p>
      <w:pPr>
        <w:pStyle w:val="Heading4"/>
      </w:pPr>
      <w:r>
        <w:t xml:space="preserve">4.3.4 Use of Sold Products (Category 11)</w:t>
      </w:r>
    </w:p>
    <w:p>
      <w:pPr>
        <w:pStyle w:val="FirstParagraph"/>
      </w:pPr>
      <w:r>
        <w:t xml:space="preserve">Emissions from the energy consumed by the product during its lifespan by the end-user.</w:t>
      </w:r>
    </w:p>
    <w:p>
      <w:pPr>
        <w:numPr>
          <w:ilvl w:val="0"/>
          <w:numId w:val="1011"/>
        </w:numPr>
        <w:pStyle w:val="Compact"/>
      </w:pPr>
      <w:r>
        <w:t xml:space="preserve">Illustrative Product Lifespan: 5 years</w:t>
      </w:r>
    </w:p>
    <w:p>
      <w:pPr>
        <w:numPr>
          <w:ilvl w:val="0"/>
          <w:numId w:val="1011"/>
        </w:numPr>
        <w:pStyle w:val="Compact"/>
      </w:pPr>
      <w:r>
        <w:t xml:space="preserve">Illustrative Energy Consumption in Use: 10 kWh/year</w:t>
      </w:r>
    </w:p>
    <w:p>
      <w:pPr>
        <w:numPr>
          <w:ilvl w:val="0"/>
          <w:numId w:val="1011"/>
        </w:numPr>
        <w:pStyle w:val="Compact"/>
      </w:pPr>
      <w:r>
        <w:t xml:space="preserve">Illustrative End-User Electricity Emission Factor (Europe): 0.238 kgCO2e/kWh</w:t>
      </w:r>
    </w:p>
    <w:p>
      <w:pPr>
        <w:numPr>
          <w:ilvl w:val="0"/>
          <w:numId w:val="1011"/>
        </w:numPr>
        <w:pStyle w:val="Compact"/>
      </w:pPr>
      <w:r>
        <w:rPr>
          <w:bCs/>
          <w:b/>
        </w:rPr>
        <w:t xml:space="preserve">Calculation:</w:t>
      </w:r>
      <w:r>
        <w:t xml:space="preserve"> </w:t>
      </w:r>
      <w:r>
        <w:t xml:space="preserve">5 years * 10 kWh/year * 0.238 kgCO2e/kWh = 11.9 kgCO2e/unit</w:t>
      </w:r>
    </w:p>
    <w:p>
      <w:pPr>
        <w:numPr>
          <w:ilvl w:val="0"/>
          <w:numId w:val="1011"/>
        </w:numPr>
        <w:pStyle w:val="Compact"/>
      </w:pPr>
      <w:r>
        <w:rPr>
          <w:bCs/>
          <w:b/>
        </w:rPr>
        <w:t xml:space="preserve">Total Use Phase Emissions:</w:t>
      </w:r>
      <w:r>
        <w:t xml:space="preserve"> </w:t>
      </w:r>
      <w:r>
        <w:t xml:space="preserve">11.9 kgCO2e/unit</w:t>
      </w:r>
    </w:p>
    <w:bookmarkEnd w:id="39"/>
    <w:bookmarkStart w:id="40" w:name="X7eecd0528a4129578e12f0f82acdf78ed4201e7"/>
    <w:p>
      <w:pPr>
        <w:pStyle w:val="Heading4"/>
      </w:pPr>
      <w:r>
        <w:t xml:space="preserve">4.3.5 End-of-Life Treatment of Sold Products (Category 12)</w:t>
      </w:r>
    </w:p>
    <w:p>
      <w:pPr>
        <w:pStyle w:val="FirstParagraph"/>
      </w:pPr>
      <w:r>
        <w:t xml:space="preserve">Emissions and potential savings from the product\'s end-of-life, considering recyclability and circular programs.</w:t>
      </w:r>
    </w:p>
    <w:p>
      <w:pPr>
        <w:numPr>
          <w:ilvl w:val="0"/>
          <w:numId w:val="1012"/>
        </w:numPr>
        <w:pStyle w:val="Compact"/>
      </w:pPr>
      <w:r>
        <w:t xml:space="preserve">Illustrative Recyclability Percentage: 70%</w:t>
      </w:r>
    </w:p>
    <w:p>
      <w:pPr>
        <w:numPr>
          <w:ilvl w:val="0"/>
          <w:numId w:val="1012"/>
        </w:numPr>
        <w:pStyle w:val="Compact"/>
      </w:pPr>
      <w:r>
        <w:t xml:space="preserve">Illustrative Total Material Emissions (for EoL credit calculation): 10.85 kgCO2e/unit (from 4.3.1)</w:t>
      </w:r>
    </w:p>
    <w:p>
      <w:pPr>
        <w:numPr>
          <w:ilvl w:val="0"/>
          <w:numId w:val="1012"/>
        </w:numPr>
        <w:pStyle w:val="Compact"/>
      </w:pPr>
      <w:r>
        <w:t xml:space="preserve">Illustrative Credit for Recycling: 70% of material emissions * 50% recycling credit factor = 0.70 * 10.85 kgCO2e/unit * 0.50 = -3.80 kgCO2e/unit</w:t>
      </w:r>
    </w:p>
    <w:p>
      <w:pPr>
        <w:numPr>
          <w:ilvl w:val="0"/>
          <w:numId w:val="1012"/>
        </w:numPr>
        <w:pStyle w:val="Compact"/>
      </w:pPr>
      <w:r>
        <w:t xml:space="preserve">Illustrative Residual Waste (30% of materials) and Disposal Emissions: Assume a nominal 0.5 kgCO2e/unit for disposal of non-recycled components.</w:t>
      </w:r>
    </w:p>
    <w:p>
      <w:pPr>
        <w:numPr>
          <w:ilvl w:val="0"/>
          <w:numId w:val="1012"/>
        </w:numPr>
        <w:pStyle w:val="Compact"/>
      </w:pPr>
      <w:r>
        <w:rPr>
          <w:bCs/>
          <w:b/>
        </w:rPr>
        <w:t xml:space="preserve">Total End-of-Life Emissions/Savings:</w:t>
      </w:r>
      <w:r>
        <w:t xml:space="preserve"> </w:t>
      </w:r>
      <w:r>
        <w:t xml:space="preserve">-3.80 kgCO2e/unit + 0.5 kgCO2e/unit = -3.30 kgCO2e/unit</w:t>
      </w:r>
    </w:p>
    <w:bookmarkEnd w:id="40"/>
    <w:bookmarkEnd w:id="41"/>
    <w:bookmarkStart w:id="42" w:name="X53e0989b0f5610745d940b16e272545f5b8e375"/>
    <w:p>
      <w:pPr>
        <w:pStyle w:val="Heading3"/>
      </w:pPr>
      <w:r>
        <w:t xml:space="preserve">4.4 Summary of Product Carbon Footprint (PCF) for mrevulehdx</w:t>
      </w:r>
    </w:p>
    <w:p>
      <w:pPr>
        <w:pStyle w:val="FirstParagraph"/>
      </w:pPr>
      <w:r>
        <w:t xml:space="preserve">Aggregating emissions across all scopes and lifecycle stages for 1.0 unit of</w:t>
      </w:r>
      <w:r>
        <w:t xml:space="preserve"> </w:t>
      </w:r>
      <w:r>
        <w:rPr>
          <w:bCs/>
          <w:b/>
        </w:rPr>
        <w:t xml:space="preserve">mrevulehdx</w:t>
      </w:r>
      <w:r>
        <w:t xml:space="preserv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Lifecycle Stage / GHG Scope</w:t>
            </w:r>
          </w:p>
        </w:tc>
        <w:tc>
          <w:tcPr/>
          <w:p>
            <w:pPr>
              <w:pStyle w:val="Compact"/>
              <w:jc w:val="left"/>
            </w:pPr>
            <w:r>
              <w:t xml:space="preserve">Illustrative Emissions (kgCO2e/unit)</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Energy (Manufacturing)</w:t>
            </w:r>
          </w:p>
        </w:tc>
        <w:tc>
          <w:tcPr/>
          <w:p>
            <w:pPr>
              <w:pStyle w:val="Compact"/>
              <w:jc w:val="left"/>
            </w:pPr>
            <w:r>
              <w:t xml:space="preserve">1.995</w:t>
            </w:r>
          </w:p>
        </w:tc>
      </w:tr>
      <w:tr>
        <w:tc>
          <w:tcPr/>
          <w:p>
            <w:pPr>
              <w:pStyle w:val="Compact"/>
              <w:jc w:val="left"/>
            </w:pPr>
            <w:r>
              <w:rPr>
                <w:bCs/>
                <w:b/>
              </w:rPr>
              <w:t xml:space="preserve">Scope 3: Value Chain Emissions</w:t>
            </w:r>
          </w:p>
        </w:tc>
        <w:tc>
          <w:tcPr/>
          <w:p>
            <w:pPr>
              <w:pStyle w:val="Compact"/>
            </w:pPr>
          </w:p>
        </w:tc>
      </w:tr>
      <w:tr>
        <w:tc>
          <w:tcPr/>
          <w:p>
            <w:pPr>
              <w:pStyle w:val="Compact"/>
              <w:jc w:val="left"/>
            </w:pPr>
            <w:r>
              <w:t xml:space="preserve">    Materials Acquisition &amp; Pre-processing (Category 1)</w:t>
            </w:r>
          </w:p>
        </w:tc>
        <w:tc>
          <w:tcPr/>
          <w:p>
            <w:pPr>
              <w:pStyle w:val="Compact"/>
              <w:jc w:val="left"/>
            </w:pPr>
            <w:r>
              <w:t xml:space="preserve">10.85</w:t>
            </w:r>
          </w:p>
        </w:tc>
      </w:tr>
      <w:tr>
        <w:tc>
          <w:tcPr/>
          <w:p>
            <w:pPr>
              <w:pStyle w:val="Compact"/>
              <w:jc w:val="left"/>
            </w:pPr>
            <w:r>
              <w:t xml:space="preserve">    Upstream Transportation (Category 4)</w:t>
            </w:r>
          </w:p>
        </w:tc>
        <w:tc>
          <w:tcPr/>
          <w:p>
            <w:pPr>
              <w:pStyle w:val="Compact"/>
              <w:jc w:val="left"/>
            </w:pPr>
            <w:r>
              <w:t xml:space="preserve">0.16</w:t>
            </w:r>
          </w:p>
        </w:tc>
      </w:tr>
      <w:tr>
        <w:tc>
          <w:tcPr/>
          <w:p>
            <w:pPr>
              <w:pStyle w:val="Compact"/>
              <w:jc w:val="left"/>
            </w:pPr>
            <w:r>
              <w:t xml:space="preserve">    Downstream Transportation (Category 9)</w:t>
            </w:r>
          </w:p>
        </w:tc>
        <w:tc>
          <w:tcPr/>
          <w:p>
            <w:pPr>
              <w:pStyle w:val="Compact"/>
              <w:jc w:val="left"/>
            </w:pPr>
            <w:r>
              <w:t xml:space="preserve">0.05</w:t>
            </w:r>
          </w:p>
        </w:tc>
      </w:tr>
      <w:tr>
        <w:tc>
          <w:tcPr/>
          <w:p>
            <w:pPr>
              <w:pStyle w:val="Compact"/>
              <w:jc w:val="left"/>
            </w:pPr>
            <w:r>
              <w:t xml:space="preserve">    Use of Sold Products (Category 11)</w:t>
            </w:r>
          </w:p>
        </w:tc>
        <w:tc>
          <w:tcPr/>
          <w:p>
            <w:pPr>
              <w:pStyle w:val="Compact"/>
              <w:jc w:val="left"/>
            </w:pPr>
            <w:r>
              <w:t xml:space="preserve">11.90</w:t>
            </w:r>
          </w:p>
        </w:tc>
      </w:tr>
      <w:tr>
        <w:tc>
          <w:tcPr/>
          <w:p>
            <w:pPr>
              <w:pStyle w:val="Compact"/>
              <w:jc w:val="left"/>
            </w:pPr>
            <w:r>
              <w:t xml:space="preserve">    End-of-Life Treatment (Category 12)</w:t>
            </w:r>
          </w:p>
        </w:tc>
        <w:tc>
          <w:tcPr/>
          <w:p>
            <w:pPr>
              <w:pStyle w:val="Compact"/>
              <w:jc w:val="left"/>
            </w:pPr>
            <w:r>
              <w:t xml:space="preserve">-3.30</w:t>
            </w:r>
          </w:p>
        </w:tc>
      </w:tr>
      <w:tr>
        <w:tc>
          <w:tcPr/>
          <w:p>
            <w:pPr>
              <w:pStyle w:val="Compact"/>
              <w:jc w:val="left"/>
            </w:pPr>
            <w:r>
              <w:rPr>
                <w:bCs/>
                <w:b/>
              </w:rPr>
              <w:t xml:space="preserve">Total Product Carbon Footprint (Cradle-to-Grave)</w:t>
            </w:r>
          </w:p>
        </w:tc>
        <w:tc>
          <w:tcPr/>
          <w:p>
            <w:pPr>
              <w:pStyle w:val="Compact"/>
              <w:jc w:val="left"/>
            </w:pPr>
            <w:r>
              <w:rPr>
                <w:bCs/>
                <w:b/>
              </w:rPr>
              <w:t xml:space="preserve">21.655 kgCO2e/unit</w:t>
            </w:r>
          </w:p>
        </w:tc>
      </w:tr>
    </w:tbl>
    <w:bookmarkEnd w:id="42"/>
    <w:bookmarkStart w:id="43" w:name="X3e7a3facbfc54a43bc73736023cf1d75cc3b9ad"/>
    <w:p>
      <w:pPr>
        <w:pStyle w:val="Heading3"/>
      </w:pPr>
      <w:r>
        <w:t xml:space="preserve">4.5 2026 LSR UPDATE: Application of the Land Sector and Removals (LSR) Standard</w:t>
      </w:r>
    </w:p>
    <w:p>
      <w:pPr>
        <w:pStyle w:val="FirstParagraph"/>
      </w:pPr>
      <w:r>
        <w:t xml:space="preserve">The GHG Protocol\'s Land Sector and Removals (LSR) Standard was released on January 30, 2026, and is set to take effect on January 1, 2027. This standard provides requirements and guidance for accounting for emissions and carbon removals from agricultural and land use activities. While the accompanying guidance is expected in Q2 2026, its immediate application to</w:t>
      </w:r>
      <w:r>
        <w:t xml:space="preserve"> </w:t>
      </w:r>
      <w:r>
        <w:rPr>
          <w:bCs/>
          <w:b/>
        </w:rPr>
        <w:t xml:space="preserve">mrevulehdx</w:t>
      </w:r>
      <w:r>
        <w:t xml:space="preserve"> </w:t>
      </w:r>
      <w:r>
        <w:t xml:space="preserve">is limited unless its raw materials (e.g., specific bio-based materials, or materials from land-intensive processes) or direct operational land use fall under these categories. For this analysis, direct land-use emissions and removals are not quantified due to the nature of the product and the lack of specific land-use data. However, future analyses should assess potential impacts from material sourcing if they involve significant land sector activities, applying the LSR Standard\'s principles for traceability, land use change, and potential carbon sequestration.</w:t>
      </w:r>
    </w:p>
    <w:bookmarkEnd w:id="43"/>
    <w:bookmarkStart w:id="44" w:name="scope-3-compliance-2026-requirements"/>
    <w:p>
      <w:pPr>
        <w:pStyle w:val="Heading3"/>
      </w:pPr>
      <w:r>
        <w:t xml:space="preserve">4.6 Scope 3 Compliance (2026 Requirements)</w:t>
      </w:r>
    </w:p>
    <w:p>
      <w:pPr>
        <w:pStyle w:val="FirstParagraph"/>
      </w:pPr>
      <w:r>
        <w:t xml:space="preserve">As per the 2026 GHG Protocol update proposals, companies are required to achieve at least 95% coverage for their required Scope 3 emissions. This means that a comprehensive effort must be made to identify, quantify, and report on all relevant Scope 3 categories, with justified and quantified exclusions not exceeding 5%. This report has aimed for comprehensive coverage of the major Scope 3 categories relevant to</w:t>
      </w:r>
      <w:r>
        <w:t xml:space="preserve"> </w:t>
      </w:r>
      <w:r>
        <w:rPr>
          <w:bCs/>
          <w:b/>
        </w:rPr>
        <w:t xml:space="preserve">mrevulehdx</w:t>
      </w:r>
      <w:r>
        <w:t xml:space="preserve"> </w:t>
      </w:r>
      <w:r>
        <w:t xml:space="preserve">(Categories 1, 4, 9, 11, 12). To achieve full 95% compliance,</w:t>
      </w:r>
      <w:r>
        <w:t xml:space="preserve"> </w:t>
      </w:r>
      <w:r>
        <w:rPr>
          <w:bCs/>
          <w:b/>
        </w:rPr>
        <w:t xml:space="preserve">tueexqeqst</w:t>
      </w:r>
      <w:r>
        <w:t xml:space="preserve"> </w:t>
      </w:r>
      <w:r>
        <w:t xml:space="preserve">would need to ensure thorough data collection across all 15 Scope 3 categories and disaggregate data by source type (primary vs. secondary) for improved transparency.</w:t>
      </w:r>
    </w:p>
    <w:p>
      <w:r>
        <w:pict>
          <v:rect style="width:0;height:1.5pt" o:hralign="center" o:hrstd="t" o:hr="t"/>
        </w:pict>
      </w:r>
    </w:p>
    <w:bookmarkEnd w:id="44"/>
    <w:bookmarkEnd w:id="45"/>
    <w:bookmarkStart w:id="49"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Based on the illustrative calculations, the primary emission hotspots for</w:t>
      </w:r>
      <w:r>
        <w:t xml:space="preserve"> </w:t>
      </w:r>
      <w:r>
        <w:rPr>
          <w:bCs/>
          <w:b/>
        </w:rPr>
        <w:t xml:space="preserve">mrevulehdx</w:t>
      </w:r>
      <w:r>
        <w:t xml:space="preserve"> </w:t>
      </w:r>
      <w:r>
        <w:t xml:space="preserve">are:</w:t>
      </w:r>
    </w:p>
    <w:p>
      <w:pPr>
        <w:numPr>
          <w:ilvl w:val="0"/>
          <w:numId w:val="1013"/>
        </w:numPr>
        <w:pStyle w:val="Compact"/>
      </w:pPr>
      <w:r>
        <w:rPr>
          <w:bCs/>
          <w:b/>
        </w:rPr>
        <w:t xml:space="preserve">Use Phase (Category 11):</w:t>
      </w:r>
      <w:r>
        <w:t xml:space="preserve"> </w:t>
      </w:r>
      <w:r>
        <w:t xml:space="preserve">Accounting for approximately 55% of the total footprint (11.9 kgCO2e). This highlights the significant impact of electricity consumption during the product\'s operational life.</w:t>
      </w:r>
    </w:p>
    <w:p>
      <w:pPr>
        <w:numPr>
          <w:ilvl w:val="0"/>
          <w:numId w:val="1013"/>
        </w:numPr>
        <w:pStyle w:val="Compact"/>
      </w:pPr>
      <w:r>
        <w:rPr>
          <w:bCs/>
          <w:b/>
        </w:rPr>
        <w:t xml:space="preserve">Materials Acquisition &amp; Pre-processing (Category 1):</w:t>
      </w:r>
      <w:r>
        <w:t xml:space="preserve"> </w:t>
      </w:r>
      <w:r>
        <w:t xml:space="preserve">Contributing roughly 50% of the gross upstream emissions (10.85 kgCO2e), emphasizing the importance of material choices and their embodied carbon.</w:t>
      </w:r>
    </w:p>
    <w:p>
      <w:pPr>
        <w:numPr>
          <w:ilvl w:val="0"/>
          <w:numId w:val="1013"/>
        </w:numPr>
        <w:pStyle w:val="Compact"/>
      </w:pPr>
      <w:r>
        <w:rPr>
          <w:bCs/>
          <w:b/>
        </w:rPr>
        <w:t xml:space="preserve">Manufacturing (Scope 2):</w:t>
      </w:r>
      <w:r>
        <w:t xml:space="preserve"> </w:t>
      </w:r>
      <w:r>
        <w:t xml:space="preserve">While smaller, still a notable contributor at nearly 9% (1.995 kgCO2e), indicating opportunities for renewable energy adoption.</w:t>
      </w:r>
    </w:p>
    <w:p>
      <w:pPr>
        <w:numPr>
          <w:ilvl w:val="0"/>
          <w:numId w:val="1013"/>
        </w:numPr>
        <w:pStyle w:val="Compact"/>
      </w:pPr>
      <w:r>
        <w:t xml:space="preserve">The End-of-Life stage demonstrates a net carbon saving due to recyclability, underscoring the benefits of circular economy initiatives.</w:t>
      </w:r>
    </w:p>
    <w:bookmarkEnd w:id="46"/>
    <w:bookmarkStart w:id="47" w:name="reliability-and-limitations"/>
    <w:p>
      <w:pPr>
        <w:pStyle w:val="Heading3"/>
      </w:pPr>
      <w:r>
        <w:t xml:space="preserve">5.2 Reliability and Limitations</w:t>
      </w:r>
    </w:p>
    <w:p>
      <w:pPr>
        <w:pStyle w:val="FirstParagraph"/>
      </w:pPr>
      <w:r>
        <w:t xml:space="preserve">The reliability of this report is limited by the use of illustrative and generic data for several key parameters. Specifically:</w:t>
      </w:r>
    </w:p>
    <w:p>
      <w:pPr>
        <w:numPr>
          <w:ilvl w:val="0"/>
          <w:numId w:val="1014"/>
        </w:numPr>
        <w:pStyle w:val="Compact"/>
      </w:pPr>
      <w:r>
        <w:rPr>
          <w:bCs/>
          <w:b/>
        </w:rPr>
        <w:t xml:space="preserve">Placeholder Data:</w:t>
      </w:r>
      <w:r>
        <w:t xml:space="preserve"> </w:t>
      </w:r>
      <w:r>
        <w:t xml:space="preserve">Parameters such as</w:t>
      </w:r>
      <w:r>
        <w:t xml:space="preserve"> </w:t>
      </w:r>
      <w:r>
        <w:rPr>
          <w:bCs/>
          <w:b/>
        </w:rPr>
        <w:t xml:space="preserve">kedgfhmp</w:t>
      </w:r>
      <w:r>
        <w:t xml:space="preserve"> </w:t>
      </w:r>
      <w:r>
        <w:t xml:space="preserve">(Detailed BOM),</w:t>
      </w:r>
      <w:r>
        <w:t xml:space="preserve"> </w:t>
      </w:r>
      <w:r>
        <w:rPr>
          <w:bCs/>
          <w:b/>
        </w:rPr>
        <w:t xml:space="preserve">fyrynxdwhv</w:t>
      </w:r>
      <w:r>
        <w:t xml:space="preserve"> </w:t>
      </w:r>
      <w:r>
        <w:t xml:space="preserve">(Transport Distance),</w:t>
      </w:r>
      <w:r>
        <w:t xml:space="preserve"> </w:t>
      </w:r>
      <w:r>
        <w:rPr>
          <w:bCs/>
          <w:b/>
        </w:rPr>
        <w:t xml:space="preserve">Select Mode</w:t>
      </w:r>
      <w:r>
        <w:t xml:space="preserve"> </w:t>
      </w:r>
      <w:r>
        <w:t xml:space="preserve">(Transport Mode),</w:t>
      </w:r>
      <w:r>
        <w:t xml:space="preserve"> </w:t>
      </w:r>
      <w:r>
        <w:rPr>
          <w:bCs/>
          <w:b/>
        </w:rPr>
        <w:t xml:space="preserve">Delivery Type</w:t>
      </w:r>
      <w:r>
        <w:t xml:space="preserve"> </w:t>
      </w:r>
      <w:r>
        <w:t xml:space="preserve">(Last-Mile Delivery),</w:t>
      </w:r>
      <w:r>
        <w:t xml:space="preserve"> </w:t>
      </w:r>
      <w:r>
        <w:rPr>
          <w:bCs/>
          <w:b/>
        </w:rPr>
        <w:t xml:space="preserve">znwmnoqtzn</w:t>
      </w:r>
      <w:r>
        <w:t xml:space="preserve"> </w:t>
      </w:r>
      <w:r>
        <w:t xml:space="preserve">(Renewable Energy Usage),</w:t>
      </w:r>
      <w:r>
        <w:t xml:space="preserve"> </w:t>
      </w:r>
      <w:r>
        <w:rPr>
          <w:bCs/>
          <w:b/>
        </w:rPr>
        <w:t xml:space="preserve">mlgkjlueig</w:t>
      </w:r>
      <w:r>
        <w:t xml:space="preserve"> </w:t>
      </w:r>
      <w:r>
        <w:t xml:space="preserve">(Energy Intensity),</w:t>
      </w:r>
      <w:r>
        <w:t xml:space="preserve"> </w:t>
      </w:r>
      <w:r>
        <w:rPr>
          <w:bCs/>
          <w:b/>
        </w:rPr>
        <w:t xml:space="preserve">mkduoxzdiw</w:t>
      </w:r>
      <w:r>
        <w:t xml:space="preserve"> </w:t>
      </w:r>
      <w:r>
        <w:t xml:space="preserve">(Product Lifespan),</w:t>
      </w:r>
      <w:r>
        <w:t xml:space="preserve"> </w:t>
      </w:r>
      <w:r>
        <w:rPr>
          <w:bCs/>
          <w:b/>
        </w:rPr>
        <w:t xml:space="preserve">ujvhqwpszd</w:t>
      </w:r>
      <w:r>
        <w:t xml:space="preserve"> </w:t>
      </w:r>
      <w:r>
        <w:t xml:space="preserve">(Energy Consumption in Use),</w:t>
      </w:r>
      <w:r>
        <w:t xml:space="preserve"> </w:t>
      </w:r>
      <w:r>
        <w:rPr>
          <w:bCs/>
          <w:b/>
        </w:rPr>
        <w:t xml:space="preserve">flkoroestz</w:t>
      </w:r>
      <w:r>
        <w:t xml:space="preserve"> </w:t>
      </w:r>
      <w:r>
        <w:t xml:space="preserve">(Recyclability Percentage), and</w:t>
      </w:r>
      <w:r>
        <w:t xml:space="preserve"> </w:t>
      </w:r>
      <w:r>
        <w:rPr>
          <w:bCs/>
          <w:b/>
        </w:rPr>
        <w:t xml:space="preserve">wdtwyvhkgp</w:t>
      </w:r>
      <w:r>
        <w:t xml:space="preserve"> </w:t>
      </w:r>
      <w:r>
        <w:t xml:space="preserve">(Circular/Take-back Programs) were placeholder strings. This report used assumed numerical and descriptive values to demonstrate the calculation methodology.</w:t>
      </w:r>
    </w:p>
    <w:p>
      <w:pPr>
        <w:numPr>
          <w:ilvl w:val="0"/>
          <w:numId w:val="1014"/>
        </w:numPr>
        <w:pStyle w:val="Compact"/>
      </w:pPr>
      <w:r>
        <w:rPr>
          <w:bCs/>
          <w:b/>
        </w:rPr>
        <w:t xml:space="preserve">Generic Emission Factors:</w:t>
      </w:r>
      <w:r>
        <w:t xml:space="preserve"> </w:t>
      </w:r>
      <w:r>
        <w:t xml:space="preserve">Industry-average emission factors were used from publicly available databases (e.g., Ecoinvent/DEFRA equivalents). Product-specific or supplier-specific primary data would significantly improve accuracy.</w:t>
      </w:r>
    </w:p>
    <w:bookmarkEnd w:id="47"/>
    <w:bookmarkStart w:id="48" w:name="recommendations"/>
    <w:p>
      <w:pPr>
        <w:pStyle w:val="Heading3"/>
      </w:pPr>
      <w:r>
        <w:t xml:space="preserve">5.3 Recommendations</w:t>
      </w:r>
    </w:p>
    <w:p>
      <w:pPr>
        <w:pStyle w:val="FirstParagraph"/>
      </w:pPr>
      <w:r>
        <w:t xml:space="preserve">To reduce the carbon footprint of</w:t>
      </w:r>
      <w:r>
        <w:t xml:space="preserve"> </w:t>
      </w:r>
      <w:r>
        <w:rPr>
          <w:bCs/>
          <w:b/>
        </w:rPr>
        <w:t xml:space="preserve">mrevulehdx</w:t>
      </w:r>
      <w:r>
        <w:t xml:space="preserve"> </w:t>
      </w:r>
      <w:r>
        <w:t xml:space="preserve">and enhance the accuracy of future PCF analyses,</w:t>
      </w:r>
      <w:r>
        <w:t xml:space="preserve"> </w:t>
      </w:r>
      <w:r>
        <w:rPr>
          <w:bCs/>
          <w:b/>
        </w:rPr>
        <w:t xml:space="preserve">tueexqeqst</w:t>
      </w:r>
      <w:r>
        <w:t xml:space="preserve"> </w:t>
      </w:r>
      <w:r>
        <w:t xml:space="preserve">should consider the following:</w:t>
      </w:r>
    </w:p>
    <w:p>
      <w:pPr>
        <w:numPr>
          <w:ilvl w:val="0"/>
          <w:numId w:val="1015"/>
        </w:numPr>
        <w:pStyle w:val="Compact"/>
      </w:pPr>
      <w:r>
        <w:rPr>
          <w:bCs/>
          <w:b/>
        </w:rPr>
        <w:t xml:space="preserve">Primary Data Collection:</w:t>
      </w:r>
      <w:r>
        <w:t xml:space="preserve"> </w:t>
      </w:r>
      <w:r>
        <w:t xml:space="preserve">Prioritize collecting primary data for the detailed Bill of Materials, actual manufacturing energy consumption, specific transport distances, modes, and last-mile delivery data.</w:t>
      </w:r>
    </w:p>
    <w:p>
      <w:pPr>
        <w:numPr>
          <w:ilvl w:val="0"/>
          <w:numId w:val="1015"/>
        </w:numPr>
        <w:pStyle w:val="Compact"/>
      </w:pPr>
      <w:r>
        <w:rPr>
          <w:bCs/>
          <w:b/>
        </w:rPr>
        <w:t xml:space="preserve">Energy Efficiency &amp; Renewables in Use Phase:</w:t>
      </w:r>
      <w:r>
        <w:t xml:space="preserve"> </w:t>
      </w:r>
      <w:r>
        <w:t xml:space="preserve">Investigate opportunities to reduce the product\'s energy consumption during its use phase and encourage end-users to utilize renewable energy sources.</w:t>
      </w:r>
    </w:p>
    <w:p>
      <w:pPr>
        <w:numPr>
          <w:ilvl w:val="0"/>
          <w:numId w:val="1015"/>
        </w:numPr>
        <w:pStyle w:val="Compact"/>
      </w:pPr>
      <w:r>
        <w:rPr>
          <w:bCs/>
          <w:b/>
        </w:rPr>
        <w:t xml:space="preserve">Material Decarbonization:</w:t>
      </w:r>
      <w:r>
        <w:t xml:space="preserve"> </w:t>
      </w:r>
      <w:r>
        <w:t xml:space="preserve">Explore lower-carbon material alternatives, increase recycled content, and engage with suppliers to reduce the embodied emissions of components.</w:t>
      </w:r>
    </w:p>
    <w:p>
      <w:pPr>
        <w:numPr>
          <w:ilvl w:val="0"/>
          <w:numId w:val="1015"/>
        </w:numPr>
        <w:pStyle w:val="Compact"/>
      </w:pPr>
      <w:r>
        <w:rPr>
          <w:bCs/>
          <w:b/>
        </w:rPr>
        <w:t xml:space="preserve">Circular Economy Integration:</w:t>
      </w:r>
      <w:r>
        <w:t xml:space="preserve"> </w:t>
      </w:r>
      <w:r>
        <w:t xml:space="preserve">Strengthen and expand take-back and recycling programs, focusing on achieving high material recovery rates to maximize end-of-life benefits.</w:t>
      </w:r>
    </w:p>
    <w:p>
      <w:pPr>
        <w:numPr>
          <w:ilvl w:val="0"/>
          <w:numId w:val="1015"/>
        </w:numPr>
        <w:pStyle w:val="Compact"/>
      </w:pPr>
      <w:r>
        <w:rPr>
          <w:bCs/>
          <w:b/>
        </w:rPr>
        <w:t xml:space="preserve">Supplier Engagement:</w:t>
      </w:r>
      <w:r>
        <w:t xml:space="preserve"> </w:t>
      </w:r>
      <w:r>
        <w:t xml:space="preserve">Collaborate with supply chain partners to obtain product-specific emission factors and improve data granularity for Scope 3 reporting, working towards the 95% coverage target.</w:t>
      </w:r>
    </w:p>
    <w:p>
      <w:pPr>
        <w:numPr>
          <w:ilvl w:val="0"/>
          <w:numId w:val="1015"/>
        </w:numPr>
        <w:pStyle w:val="Compact"/>
      </w:pPr>
      <w:r>
        <w:rPr>
          <w:bCs/>
          <w:b/>
        </w:rPr>
        <w:t xml:space="preserve">LSR Standard Assessment:</w:t>
      </w:r>
      <w:r>
        <w:t xml:space="preserve"> </w:t>
      </w:r>
      <w:r>
        <w:t xml:space="preserve">Proactively assess if any raw material sourcing or operational activities have significant land-use impacts that would fall under the GHG Protocol\'s new Land Sector and Removals Standard, especially as its guidance becomes available.</w:t>
      </w:r>
    </w:p>
    <w:p>
      <w:r>
        <w:pict>
          <v:rect style="width:0;height:1.5pt" o:hralign="center" o:hrstd="t" o:hr="t"/>
        </w:pict>
      </w:r>
    </w:p>
    <w:p>
      <w:pPr>
        <w:pStyle w:val="FirstParagraph"/>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mrevulehdx</dc:title>
  <dc:creator/>
  <dc:description>A high-detail Product Carbon Footprint (PCF) analysis report for mrevulehdx, adhering to GHG Protocol standards and incorporating 2026 updates, conducted by Senior Sustainability Consultant slxjmgdmol for tueexqeqst.</dc:description>
  <dc:language>en</dc:language>
  <cp:keywords/>
  <dcterms:created xsi:type="dcterms:W3CDTF">2026-05-30T19:00:09Z</dcterms:created>
  <dcterms:modified xsi:type="dcterms:W3CDTF">2026-05-30T19:00:09Z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