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mrdirlpthq</w:t>
      </w:r>
    </w:p>
    <w:p>
      <w:pPr>
        <w:pStyle w:val="FirstParagraph"/>
      </w:pPr>
      <w:r>
        <w:t xml:space="preserve">carboncalcpcf.com</w:t>
      </w:r>
    </w:p>
    <w:bookmarkStart w:id="20" w:name="product-carbon-footprint-analysis-report"/>
    <w:p>
      <w:pPr>
        <w:pStyle w:val="Heading1"/>
      </w:pPr>
      <w:r>
        <w:t xml:space="preserve">Product Carbon Footprint Analysis Report</w:t>
      </w:r>
    </w:p>
    <w:bookmarkEnd w:id="20"/>
    <w:bookmarkStart w:id="21" w:name="product-mrdirlpthq"/>
    <w:p>
      <w:pPr>
        <w:pStyle w:val="Heading1"/>
      </w:pPr>
      <w:r>
        <w:t xml:space="preserve">Product: mrdirlpthq</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dolszuxplm</w:t>
      </w:r>
    </w:p>
    <w:p>
      <w:pPr>
        <w:pStyle w:val="BodyText"/>
      </w:pPr>
      <w:r>
        <w:rPr>
          <w:bCs/>
          <w:b/>
        </w:rPr>
        <w:t xml:space="preserve">Senior Sustainability Consultant:</w:t>
      </w:r>
      <w:r>
        <w:t xml:space="preserve"> </w:t>
      </w:r>
      <w:r>
        <w:t xml:space="preserve">qxokmqfxiq</w:t>
      </w:r>
    </w:p>
    <w:p>
      <w:pPr>
        <w:pStyle w:val="BodyText"/>
      </w:pPr>
      <w:r>
        <w:t xml:space="preserve">This report is generated based on available data and industry standards. While efforts have been made to ensure accuracy and completeness, the results are illustrative and depend on the quality and scope of the input data provided. This document should be used for internal strategic planning and informational purposes only.</w:t>
      </w:r>
    </w:p>
    <w:bookmarkEnd w:id="21"/>
    <w:p>
      <w:pPr>
        <w:pStyle w:val="BodyText"/>
      </w:pPr>
      <w:r>
        <w:rPr>
          <w:bCs/>
          <w:b/>
        </w:rPr>
        <w:t xml:space="preserve">Product Carbon Footprint Report for mrdirlpthq</w:t>
      </w:r>
      <w:r>
        <w:t xml:space="preserve"> </w:t>
      </w:r>
      <w:r>
        <w:t xml:space="preserve">| Generated Date: May 31, 2026</w:t>
      </w:r>
    </w:p>
    <w:bookmarkStart w:id="22"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mrdirlpthq</w:t>
      </w:r>
      <w:r>
        <w:t xml:space="preserve">, manufactured by</w:t>
      </w:r>
      <w:r>
        <w:t xml:space="preserve"> </w:t>
      </w:r>
      <w:r>
        <w:rPr>
          <w:bCs/>
          <w:b/>
        </w:rPr>
        <w:t xml:space="preserve">dolszuxplm</w:t>
      </w:r>
      <w:r>
        <w:t xml:space="preserve">. Prepared by</w:t>
      </w:r>
      <w:r>
        <w:t xml:space="preserve"> </w:t>
      </w:r>
      <w:r>
        <w:rPr>
          <w:bCs/>
          <w:b/>
        </w:rPr>
        <w:t xml:space="preserve">qxokmqfxiq</w:t>
      </w:r>
      <w:r>
        <w:t xml:space="preserve">, Senior Sustainability Consultant, this analysis adheres to the Greenhouse Gas (GHG) Protocol, including the latest 2026 Land Sector and Removals (LSR) Standard updates and strict Scope 3 compliance requirements. The primary objective is to quantify the greenhouse gas emissions associated with the entire lifecycle of mrdirlpthq, from raw material extraction to end-of-life, within a \'factory-gate\' system boundary for the final production in China with a supply chain focus on Europe. Key hotspots are identified, and recommendations for emission reduction are provided to enhance the product\'s environmental performance.</w:t>
      </w:r>
    </w:p>
    <w:p>
      <w:r>
        <w:pict>
          <v:rect style="width:0;height:1.5pt" o:hralign="center" o:hrstd="t" o:hr="t"/>
        </w:pict>
      </w:r>
    </w:p>
    <w:bookmarkEnd w:id="22"/>
    <w:bookmarkStart w:id="29" w:name="introduction-and-scope-definition"/>
    <w:p>
      <w:pPr>
        <w:pStyle w:val="Heading1"/>
      </w:pPr>
      <w:r>
        <w:t xml:space="preserve">1. Introduction and Scope Definition</w:t>
      </w:r>
    </w:p>
    <w:p>
      <w:pPr>
        <w:pStyle w:val="FirstParagraph"/>
      </w:pPr>
      <w:r>
        <w:t xml:space="preserve">This Product Carbon Footprint (PCF) analysis evaluates the environmental impact of</w:t>
      </w:r>
      <w:r>
        <w:t xml:space="preserve"> </w:t>
      </w:r>
      <w:r>
        <w:rPr>
          <w:bCs/>
          <w:b/>
        </w:rPr>
        <w:t xml:space="preserve">mrdirlpthq</w:t>
      </w:r>
      <w:r>
        <w:t xml:space="preserve">, a product manufactured by</w:t>
      </w:r>
      <w:r>
        <w:t xml:space="preserve"> </w:t>
      </w:r>
      <w:r>
        <w:rPr>
          <w:bCs/>
          <w:b/>
        </w:rPr>
        <w:t xml:space="preserve">dolszuxplm</w:t>
      </w:r>
      <w:r>
        <w:t xml:space="preserve">. The assessment follows the Greenhouse Gas (GHG) Protocol, a globally recognized standard for measuring and managing GHG emissions.</w:t>
      </w:r>
    </w:p>
    <w:bookmarkStart w:id="23" w:name="functional-unit"/>
    <w:p>
      <w:pPr>
        <w:pStyle w:val="Heading2"/>
      </w:pPr>
      <w:r>
        <w:t xml:space="preserve">1.1. Functional Unit</w:t>
      </w:r>
    </w:p>
    <w:p>
      <w:pPr>
        <w:pStyle w:val="FirstParagraph"/>
      </w:pPr>
      <w:r>
        <w:t xml:space="preserve">The functional unit for this analysis is defined as</w:t>
      </w:r>
      <w:r>
        <w:t xml:space="preserve"> </w:t>
      </w:r>
      <w:r>
        <w:rPr>
          <w:bCs/>
          <w:b/>
        </w:rPr>
        <w:t xml:space="preserve">1.0 unit of mrdirlpthq</w:t>
      </w:r>
      <w:r>
        <w:t xml:space="preserve">. This unit serves as the reference basis for quantifying all relevant inputs and outputs throughout the product\'s lifecycle.</w:t>
      </w:r>
    </w:p>
    <w:bookmarkEnd w:id="23"/>
    <w:bookmarkStart w:id="24" w:name="system-boundary"/>
    <w:p>
      <w:pPr>
        <w:pStyle w:val="Heading2"/>
      </w:pPr>
      <w:r>
        <w:t xml:space="preserve">1.2. System Boundary</w:t>
      </w:r>
    </w:p>
    <w:p>
      <w:pPr>
        <w:pStyle w:val="FirstParagraph"/>
      </w:pPr>
      <w:r>
        <w:t xml:space="preserve">The system boundary for this PCF is set at</w:t>
      </w:r>
      <w:r>
        <w:t xml:space="preserve"> </w:t>
      </w:r>
      <w:r>
        <w:rPr>
          <w:bCs/>
          <w:b/>
        </w:rPr>
        <w:t xml:space="preserve">\'factory_gate\'</w:t>
      </w:r>
      <w:r>
        <w:t xml:space="preserve">. This implies that the assessment covers all emissions from raw material acquisition, transportation to the manufacturing facility, and the production processes up to the point where the finished product leaves the factory gate. The use phase and end-of-life phases are also included to provide a comprehensive view of the product\'s lifecycle impact.</w:t>
      </w:r>
    </w:p>
    <w:bookmarkEnd w:id="24"/>
    <w:bookmarkStart w:id="25" w:name="geographic-scope"/>
    <w:p>
      <w:pPr>
        <w:pStyle w:val="Heading2"/>
      </w:pPr>
      <w:r>
        <w:t xml:space="preserve">1.3. Geographic Scope</w:t>
      </w:r>
    </w:p>
    <w:p>
      <w:pPr>
        <w:pStyle w:val="FirstParagraph"/>
      </w:pPr>
      <w:r>
        <w:t xml:space="preserve">The geographic scope of this analysis specifies the</w:t>
      </w:r>
      <w:r>
        <w:t xml:space="preserve"> </w:t>
      </w:r>
      <w:r>
        <w:rPr>
          <w:bCs/>
          <w:b/>
        </w:rPr>
        <w:t xml:space="preserve">Final Production Country as China</w:t>
      </w:r>
      <w:r>
        <w:t xml:space="preserve">, with a</w:t>
      </w:r>
      <w:r>
        <w:t xml:space="preserve"> </w:t>
      </w:r>
      <w:r>
        <w:rPr>
          <w:bCs/>
          <w:b/>
        </w:rPr>
        <w:t xml:space="preserve">Supply Chain Focus on Europe</w:t>
      </w:r>
      <w:r>
        <w:t xml:space="preserve">. This geographical delineation is crucial for selecting appropriate regional emission factors and understanding specific logistical impacts.</w:t>
      </w:r>
    </w:p>
    <w:bookmarkEnd w:id="25"/>
    <w:bookmarkStart w:id="26" w:name="accounting-standard"/>
    <w:p>
      <w:pPr>
        <w:pStyle w:val="Heading2"/>
      </w:pPr>
      <w:r>
        <w:t xml:space="preserve">1.4. Accounting Standard</w:t>
      </w:r>
    </w:p>
    <w:p>
      <w:pPr>
        <w:pStyle w:val="FirstParagraph"/>
      </w:pPr>
      <w:r>
        <w:t xml:space="preserve">All calculations and reporting in this analysis strictly adhere to the</w:t>
      </w:r>
      <w:r>
        <w:t xml:space="preserve"> </w:t>
      </w:r>
      <w:r>
        <w:rPr>
          <w:bCs/>
          <w:b/>
        </w:rPr>
        <w:t xml:space="preserve">GHG Protocol</w:t>
      </w:r>
      <w:r>
        <w:t xml:space="preserve">. The GHG Protocol categorizes emissions into three scopes:</w:t>
      </w:r>
    </w:p>
    <w:p>
      <w:pPr>
        <w:numPr>
          <w:ilvl w:val="0"/>
          <w:numId w:val="1001"/>
        </w:numPr>
        <w:pStyle w:val="Compact"/>
      </w:pPr>
      <w:r>
        <w:rPr>
          <w:bCs/>
          <w:b/>
        </w:rPr>
        <w:t xml:space="preserve">Scope 1: Direct GHG Emissions.</w:t>
      </w:r>
      <w:r>
        <w:t xml:space="preserve"> </w:t>
      </w:r>
      <w:r>
        <w:t xml:space="preserve">These are emissions from sources owned or controlled by dolszuxplm.</w:t>
      </w:r>
    </w:p>
    <w:p>
      <w:pPr>
        <w:numPr>
          <w:ilvl w:val="0"/>
          <w:numId w:val="1001"/>
        </w:numPr>
        <w:pStyle w:val="Compact"/>
      </w:pPr>
      <w:r>
        <w:rPr>
          <w:bCs/>
          <w:b/>
        </w:rPr>
        <w:t xml:space="preserve">Scope 2: Indirect GHG Emissions from Purchased Energy.</w:t>
      </w:r>
      <w:r>
        <w:t xml:space="preserve"> </w:t>
      </w:r>
      <w:r>
        <w:t xml:space="preserve">These include emissions from the generation of purchased electricity, heat, or steam consumed by dolszuxplm.</w:t>
      </w:r>
    </w:p>
    <w:p>
      <w:pPr>
        <w:numPr>
          <w:ilvl w:val="0"/>
          <w:numId w:val="1001"/>
        </w:numPr>
        <w:pStyle w:val="Compact"/>
      </w:pPr>
      <w:r>
        <w:rPr>
          <w:bCs/>
          <w:b/>
        </w:rPr>
        <w:t xml:space="preserve">Scope 3: Other Indirect GHG Emissions.</w:t>
      </w:r>
      <w:r>
        <w:t xml:space="preserve"> </w:t>
      </w:r>
      <w:r>
        <w:t xml:space="preserve">These are all other indirect emissions that occur in the value chain of dolszuxplm, both upstream and downstream, but are not owned or controlled by the company. This often represents the majority of a company\'s total carbon footprint.</w:t>
      </w:r>
    </w:p>
    <w:bookmarkEnd w:id="26"/>
    <w:bookmarkStart w:id="27" w:name="allocation"/>
    <w:p>
      <w:pPr>
        <w:pStyle w:val="Heading2"/>
      </w:pPr>
      <w:r>
        <w:t xml:space="preserve">1.5. Allocation</w:t>
      </w:r>
    </w:p>
    <w:p>
      <w:pPr>
        <w:pStyle w:val="FirstParagraph"/>
      </w:pPr>
      <w:r>
        <w:t xml:space="preserve">Emissions are allocated to the functional unit based on mass allocation principles where co-products or by-products are identified. This ensures that the environmental burden is fairly distributed across the relevant outputs.</w:t>
      </w:r>
    </w:p>
    <w:bookmarkEnd w:id="27"/>
    <w:bookmarkStart w:id="28" w:name="lsr-update-and-scope-3-compliance"/>
    <w:p>
      <w:pPr>
        <w:pStyle w:val="Heading2"/>
      </w:pPr>
      <w:r>
        <w:t xml:space="preserve">1.6. 2026 LSR Update and Scope 3 Compliance</w:t>
      </w:r>
    </w:p>
    <w:p>
      <w:pPr>
        <w:pStyle w:val="FirstParagraph"/>
      </w:pPr>
      <w:r>
        <w:t xml:space="preserve">This report incorporates the **2026 Land Sector and Removals (LSR) Standard**, which became effective on January 1, 2027. This standard provides accounting requirements and guidance for quantifying, reporting, and tracking land emissions, CO₂ removals, and other key metrics, including technological CO₂ removals. It builds upon existing GHG Protocol standards for corporate carbon accounting.</w:t>
      </w:r>
    </w:p>
    <w:p>
      <w:pPr>
        <w:pStyle w:val="BodyText"/>
      </w:pPr>
      <w:r>
        <w:t xml:space="preserve">Furthermore, adherence to **2026 Scope 3 compliance requirements** dictates a minimum of 95% coverage for required Scope 3 emissions. This means that at least 95% of the mandatory portions of Categories 1 to 15 of Scope 3 emissions must be accounted for. Up to 5% of required emissions may be excluded, but these exclusions must be quantified, disclosed, and justified. This ensures a comprehensive assessment of the value chain\'s environmental impact.</w:t>
      </w:r>
    </w:p>
    <w:p>
      <w:r>
        <w:pict>
          <v:rect style="width:0;height:1.5pt" o:hralign="center" o:hrstd="t" o:hr="t"/>
        </w:pict>
      </w:r>
    </w:p>
    <w:bookmarkEnd w:id="28"/>
    <w:bookmarkEnd w:id="29"/>
    <w:bookmarkStart w:id="36" w:name="X07cf0ea829f60a4f8fa47c00f72a11793fbe483"/>
    <w:p>
      <w:pPr>
        <w:pStyle w:val="Heading1"/>
      </w:pPr>
      <w:r>
        <w:t xml:space="preserve">2. Lifecycle Mapping (LCI Inventory Stages) &amp; 3. Data Collection</w:t>
      </w:r>
    </w:p>
    <w:p>
      <w:pPr>
        <w:pStyle w:val="FirstParagraph"/>
      </w:pPr>
      <w:r>
        <w:t xml:space="preserve">This section details the lifecycle stages of</w:t>
      </w:r>
      <w:r>
        <w:t xml:space="preserve"> </w:t>
      </w:r>
      <w:r>
        <w:rPr>
          <w:bCs/>
          <w:b/>
        </w:rPr>
        <w:t xml:space="preserve">mrdirlpthq</w:t>
      </w:r>
      <w:r>
        <w:t xml:space="preserve"> </w:t>
      </w:r>
      <w:r>
        <w:t xml:space="preserve">and the specific data points collected for each stage, fulfilling both Methodology Step 2 and 3 requirements.</w:t>
      </w:r>
    </w:p>
    <w:bookmarkStart w:id="31" w:name="X19e7091be73dabe746ec844a494e50a621d9384"/>
    <w:p>
      <w:pPr>
        <w:pStyle w:val="Heading2"/>
      </w:pPr>
      <w:r>
        <w:t xml:space="preserve">2.1. Raw Material Acquisition and Pre-processing</w:t>
      </w:r>
    </w:p>
    <w:p>
      <w:pPr>
        <w:pStyle w:val="FirstParagraph"/>
      </w:pPr>
      <w:r>
        <w:t xml:space="preserve">The raw material impact is calculated using the provided Detailed Bill of Materials (BOM):</w:t>
      </w:r>
      <w:r>
        <w:t xml:space="preserve"> </w:t>
      </w:r>
      <w:r>
        <w:rPr>
          <w:bCs/>
          <w:b/>
        </w:rPr>
        <w:t xml:space="preserve">pqmilpel</w:t>
      </w:r>
      <w:r>
        <w:t xml:space="preserve">. This BOM is crucial for high-accuracy material impact calculation, moving beyond default estimates. Each item\'s specific quantity, unit, and emission factor are used.</w:t>
      </w:r>
    </w:p>
    <w:bookmarkStart w:id="30" w:name="X9472eecbe3c0728138c5f0c772fdb856ea220ba"/>
    <w:p>
      <w:pPr>
        <w:pStyle w:val="Heading3"/>
      </w:pPr>
      <w:r>
        <w:t xml:space="preserve">Detailed Bill of Materials (Illustrative Data based on \'pqmilpel\' format)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RM001</w:t>
            </w:r>
          </w:p>
        </w:tc>
        <w:tc>
          <w:tcPr/>
          <w:p>
            <w:pPr>
              <w:pStyle w:val="Compact"/>
              <w:jc w:val="left"/>
            </w:pPr>
            <w:r>
              <w:t xml:space="preserve">Aluminum Alloy A380</w:t>
            </w:r>
          </w:p>
        </w:tc>
        <w:tc>
          <w:tcPr/>
          <w:p>
            <w:pPr>
              <w:pStyle w:val="Compact"/>
              <w:jc w:val="left"/>
            </w:pPr>
            <w:r>
              <w:t xml:space="preserve">Metals</w:t>
            </w:r>
          </w:p>
        </w:tc>
        <w:tc>
          <w:tcPr/>
          <w:p>
            <w:pPr>
              <w:pStyle w:val="Compact"/>
              <w:jc w:val="left"/>
            </w:pPr>
            <w:r>
              <w:t xml:space="preserve">Primary Production, Smelting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7.0 (Illustrative)</w:t>
            </w:r>
          </w:p>
        </w:tc>
        <w:tc>
          <w:tcPr/>
          <w:p>
            <w:pPr>
              <w:pStyle w:val="Compact"/>
              <w:jc w:val="left"/>
            </w:pPr>
            <w:r>
              <w:t xml:space="preserve">10.5 (Illustrative)</w:t>
            </w:r>
          </w:p>
        </w:tc>
      </w:tr>
      <w:tr>
        <w:tc>
          <w:tcPr/>
          <w:p>
            <w:pPr>
              <w:pStyle w:val="Compact"/>
              <w:jc w:val="left"/>
            </w:pPr>
            <w:r>
              <w:t xml:space="preserve">RM002</w:t>
            </w:r>
          </w:p>
        </w:tc>
        <w:tc>
          <w:tcPr/>
          <w:p>
            <w:pPr>
              <w:pStyle w:val="Compact"/>
              <w:jc w:val="left"/>
            </w:pPr>
            <w:r>
              <w:t xml:space="preserve">ABS Plastic Granules</w:t>
            </w:r>
          </w:p>
        </w:tc>
        <w:tc>
          <w:tcPr/>
          <w:p>
            <w:pPr>
              <w:pStyle w:val="Compact"/>
              <w:jc w:val="left"/>
            </w:pPr>
            <w:r>
              <w:t xml:space="preserve">Plastics</w:t>
            </w:r>
          </w:p>
        </w:tc>
        <w:tc>
          <w:tcPr/>
          <w:p>
            <w:pPr>
              <w:pStyle w:val="Compact"/>
              <w:jc w:val="left"/>
            </w:pPr>
            <w:r>
              <w:t xml:space="preserve">Polymerization, Molding</w:t>
            </w:r>
          </w:p>
        </w:tc>
        <w:tc>
          <w:tcPr/>
          <w:p>
            <w:pPr>
              <w:pStyle w:val="Compact"/>
              <w:jc w:val="left"/>
            </w:pPr>
            <w:r>
              <w:t xml:space="preserve">0.8</w:t>
            </w:r>
          </w:p>
        </w:tc>
        <w:tc>
          <w:tcPr/>
          <w:p>
            <w:pPr>
              <w:pStyle w:val="Compact"/>
              <w:jc w:val="left"/>
            </w:pPr>
            <w:r>
              <w:t xml:space="preserve">kg</w:t>
            </w:r>
          </w:p>
        </w:tc>
        <w:tc>
          <w:tcPr/>
          <w:p>
            <w:pPr>
              <w:pStyle w:val="Compact"/>
              <w:jc w:val="left"/>
            </w:pPr>
            <w:r>
              <w:t xml:space="preserve">3.2 (Illustrative)</w:t>
            </w:r>
          </w:p>
        </w:tc>
        <w:tc>
          <w:tcPr/>
          <w:p>
            <w:pPr>
              <w:pStyle w:val="Compact"/>
              <w:jc w:val="left"/>
            </w:pPr>
            <w:r>
              <w:t xml:space="preserve">2.56 (Illustrative)</w:t>
            </w:r>
          </w:p>
        </w:tc>
      </w:tr>
      <w:tr>
        <w:tc>
          <w:tcPr/>
          <w:p>
            <w:pPr>
              <w:pStyle w:val="Compact"/>
              <w:jc w:val="left"/>
            </w:pPr>
            <w:r>
              <w:t xml:space="preserve">RM003</w:t>
            </w:r>
          </w:p>
        </w:tc>
        <w:tc>
          <w:tcPr/>
          <w:p>
            <w:pPr>
              <w:pStyle w:val="Compact"/>
              <w:jc w:val="left"/>
            </w:pPr>
            <w:r>
              <w:t xml:space="preserve">Silicon Wafer</w:t>
            </w:r>
          </w:p>
        </w:tc>
        <w:tc>
          <w:tcPr/>
          <w:p>
            <w:pPr>
              <w:pStyle w:val="Compact"/>
              <w:jc w:val="left"/>
            </w:pPr>
            <w:r>
              <w:t xml:space="preserve">Electronics</w:t>
            </w:r>
          </w:p>
        </w:tc>
        <w:tc>
          <w:tcPr/>
          <w:p>
            <w:pPr>
              <w:pStyle w:val="Compact"/>
              <w:jc w:val="left"/>
            </w:pPr>
            <w:r>
              <w:t xml:space="preserve">Polysilicon Production, Wafer Slicing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50.0 (Illustrative)</w:t>
            </w:r>
          </w:p>
        </w:tc>
        <w:tc>
          <w:tcPr/>
          <w:p>
            <w:pPr>
              <w:pStyle w:val="Compact"/>
              <w:jc w:val="left"/>
            </w:pPr>
            <w:r>
              <w:t xml:space="preserve">2.5 (Illustrative)</w:t>
            </w:r>
          </w:p>
        </w:tc>
      </w:tr>
      <w:tr>
        <w:tc>
          <w:tcPr/>
          <w:p>
            <w:pPr>
              <w:pStyle w:val="Compact"/>
              <w:jc w:val="left"/>
            </w:pPr>
            <w:r>
              <w:t xml:space="preserve">RM004</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Mining, Refining, Drawing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4.5 (Illustrative)</w:t>
            </w:r>
          </w:p>
        </w:tc>
        <w:tc>
          <w:tcPr/>
          <w:p>
            <w:pPr>
              <w:pStyle w:val="Compact"/>
              <w:jc w:val="left"/>
            </w:pPr>
            <w:r>
              <w:t xml:space="preserve">0.9 (Illustrative)</w:t>
            </w:r>
          </w:p>
        </w:tc>
      </w:tr>
      <w:tr>
        <w:tc>
          <w:tcPr/>
          <w:p>
            <w:pPr>
              <w:pStyle w:val="Compact"/>
              <w:jc w:val="left"/>
            </w:pPr>
            <w:r>
              <w:t xml:space="preserve">RM005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Recycled Pulp 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1.1 (Illustrative)</w:t>
            </w:r>
          </w:p>
        </w:tc>
        <w:tc>
          <w:tcPr/>
          <w:p>
            <w:pPr>
              <w:pStyle w:val="Compact"/>
              <w:jc w:val="left"/>
            </w:pPr>
            <w:r>
              <w:t xml:space="preserve">0.33 (Illustrative)</w:t>
            </w:r>
          </w:p>
        </w:tc>
      </w:tr>
    </w:tbl>
    <w:p>
      <w:pPr>
        <w:pStyle w:val="BodyText"/>
      </w:pPr>
      <w:r>
        <w:t xml:space="preserve">The emission factors for raw materials are sourced from industry-standard databases such as Ecoinvent and DEFRA, representing cradle-to-gate impacts including extraction, processing, and manufacturing up to the point of material delivery.</w:t>
      </w:r>
    </w:p>
    <w:bookmarkEnd w:id="30"/>
    <w:bookmarkEnd w:id="31"/>
    <w:bookmarkStart w:id="32" w:name="manufacturingproduction-phase"/>
    <w:p>
      <w:pPr>
        <w:pStyle w:val="Heading2"/>
      </w:pPr>
      <w:r>
        <w:t xml:space="preserve">2.2. Manufacturing/Production Phase</w:t>
      </w:r>
    </w:p>
    <w:p>
      <w:pPr>
        <w:pStyle w:val="FirstParagraph"/>
      </w:pPr>
      <w:r>
        <w:t xml:space="preserve">The production phase, occurring in China, includes all processes within the dolszuxplm factory.</w:t>
      </w:r>
    </w:p>
    <w:p>
      <w:pPr>
        <w:numPr>
          <w:ilvl w:val="0"/>
          <w:numId w:val="1002"/>
        </w:numPr>
        <w:pStyle w:val="Compact"/>
      </w:pPr>
      <w:r>
        <w:rPr>
          <w:bCs/>
          <w:b/>
        </w:rPr>
        <w:t xml:space="preserve">Energy Intensity (kWh/unit):</w:t>
      </w:r>
      <w:r>
        <w:t xml:space="preserve"> </w:t>
      </w:r>
      <w:r>
        <w:rPr>
          <w:bCs/>
          <w:b/>
        </w:rPr>
        <w:t xml:space="preserve">sxynzfofhm</w:t>
      </w:r>
      <w:r>
        <w:t xml:space="preserve"> </w:t>
      </w:r>
      <w:r>
        <w:t xml:space="preserve">kWh/unit. This specific value is used to quantify the energy consumed per functional unit during manufacturing.</w:t>
      </w:r>
    </w:p>
    <w:p>
      <w:pPr>
        <w:numPr>
          <w:ilvl w:val="0"/>
          <w:numId w:val="1002"/>
        </w:numPr>
        <w:pStyle w:val="Compact"/>
      </w:pPr>
      <w:r>
        <w:rPr>
          <w:bCs/>
          <w:b/>
        </w:rPr>
        <w:t xml:space="preserve">Renewable Energy Usage:</w:t>
      </w:r>
      <w:r>
        <w:t xml:space="preserve"> </w:t>
      </w:r>
      <w:r>
        <w:rPr>
          <w:bCs/>
          <w:b/>
        </w:rPr>
        <w:t xml:space="preserve">dorhjvlmmv</w:t>
      </w:r>
      <w:r>
        <w:t xml:space="preserve">. This percentage of renewable energy directly impacts the Scope 2 emissions, reflecting the company\'s efforts to reduce its carbon footprint from purchased electricity. The remaining energy is assumed to be from the regional grid mix.</w:t>
      </w:r>
    </w:p>
    <w:bookmarkEnd w:id="32"/>
    <w:bookmarkStart w:id="33" w:name="transportation-and-distribution"/>
    <w:p>
      <w:pPr>
        <w:pStyle w:val="Heading2"/>
      </w:pPr>
      <w:r>
        <w:t xml:space="preserve">2.3. Transportation and Distribution</w:t>
      </w:r>
    </w:p>
    <w:p>
      <w:pPr>
        <w:pStyle w:val="FirstParagraph"/>
      </w:pPr>
      <w:r>
        <w:t xml:space="preserve">Logistics data is incorporated into the supply chain analysis to determine transportation emissions.</w:t>
      </w:r>
    </w:p>
    <w:p>
      <w:pPr>
        <w:numPr>
          <w:ilvl w:val="0"/>
          <w:numId w:val="1003"/>
        </w:numPr>
        <w:pStyle w:val="Compact"/>
      </w:pPr>
      <w:r>
        <w:rPr>
          <w:bCs/>
          <w:b/>
        </w:rPr>
        <w:t xml:space="preserve">Primary Transport Mode:</w:t>
      </w:r>
      <w:r>
        <w:t xml:space="preserve"> </w:t>
      </w:r>
      <w:r>
        <w:rPr>
          <w:bCs/>
          <w:b/>
        </w:rPr>
        <w:t xml:space="preserve">Select Mode</w:t>
      </w:r>
      <w:r>
        <w:t xml:space="preserve"> </w:t>
      </w:r>
      <w:r>
        <w:t xml:space="preserve">(e.g., Road, Rail, Sea, Air). This selection influences the emission factor applied per tonne-kilometer.</w:t>
      </w:r>
    </w:p>
    <w:p>
      <w:pPr>
        <w:numPr>
          <w:ilvl w:val="0"/>
          <w:numId w:val="1003"/>
        </w:numPr>
        <w:pStyle w:val="Compact"/>
      </w:pPr>
      <w:r>
        <w:rPr>
          <w:bCs/>
          <w:b/>
        </w:rPr>
        <w:t xml:space="preserve">Transport Distance:</w:t>
      </w:r>
      <w:r>
        <w:t xml:space="preserve"> </w:t>
      </w:r>
      <w:r>
        <w:rPr>
          <w:bCs/>
          <w:b/>
        </w:rPr>
        <w:t xml:space="preserve">qfwrsmwwer</w:t>
      </w:r>
      <w:r>
        <w:t xml:space="preserve">. This total distance is used in conjunction with the selected transport mode\'s emission factor.</w:t>
      </w:r>
    </w:p>
    <w:p>
      <w:pPr>
        <w:numPr>
          <w:ilvl w:val="0"/>
          <w:numId w:val="1003"/>
        </w:numPr>
        <w:pStyle w:val="Compact"/>
      </w:pPr>
      <w:r>
        <w:rPr>
          <w:bCs/>
          <w:b/>
        </w:rPr>
        <w:t xml:space="preserve">Last-Mile Delivery Channel:</w:t>
      </w:r>
      <w:r>
        <w:t xml:space="preserve"> </w:t>
      </w:r>
      <w:r>
        <w:rPr>
          <w:bCs/>
          <w:b/>
        </w:rPr>
        <w:t xml:space="preserve">Delivery Type</w:t>
      </w:r>
      <w:r>
        <w:t xml:space="preserve"> </w:t>
      </w:r>
      <w:r>
        <w:t xml:space="preserve">(e.g., Courier, Local Fleet, Customer Pickup). This accounts for the final leg of the product\'s journey to the consumer.</w:t>
      </w:r>
    </w:p>
    <w:p>
      <w:pPr>
        <w:pStyle w:val="FirstParagraph"/>
      </w:pPr>
      <w:r>
        <w:t xml:space="preserve">Emission factors for transportation are typically drawn from databases like DEFRA, which provide factors for various transport modes.</w:t>
      </w:r>
    </w:p>
    <w:bookmarkEnd w:id="33"/>
    <w:bookmarkStart w:id="34" w:name="use-phase"/>
    <w:p>
      <w:pPr>
        <w:pStyle w:val="Heading2"/>
      </w:pPr>
      <w:r>
        <w:t xml:space="preserve">2.4. Use Phase</w:t>
      </w:r>
    </w:p>
    <w:p>
      <w:pPr>
        <w:pStyle w:val="FirstParagraph"/>
      </w:pPr>
      <w:r>
        <w:t xml:space="preserve">The use phase calculation is expanded using specific durability and consumption data.</w:t>
      </w:r>
    </w:p>
    <w:p>
      <w:pPr>
        <w:numPr>
          <w:ilvl w:val="0"/>
          <w:numId w:val="1004"/>
        </w:numPr>
        <w:pStyle w:val="Compact"/>
      </w:pPr>
      <w:r>
        <w:rPr>
          <w:bCs/>
          <w:b/>
        </w:rPr>
        <w:t xml:space="preserve">Product Lifespan:</w:t>
      </w:r>
      <w:r>
        <w:t xml:space="preserve"> </w:t>
      </w:r>
      <w:r>
        <w:rPr>
          <w:bCs/>
          <w:b/>
        </w:rPr>
        <w:t xml:space="preserve">ukkwrrdzxn</w:t>
      </w:r>
      <w:r>
        <w:t xml:space="preserve">. This defines the expected duration of product use.</w:t>
      </w:r>
    </w:p>
    <w:p>
      <w:pPr>
        <w:numPr>
          <w:ilvl w:val="0"/>
          <w:numId w:val="1004"/>
        </w:numPr>
        <w:pStyle w:val="Compact"/>
      </w:pPr>
      <w:r>
        <w:rPr>
          <w:bCs/>
          <w:b/>
        </w:rPr>
        <w:t xml:space="preserve">Energy Consumption in Use:</w:t>
      </w:r>
      <w:r>
        <w:t xml:space="preserve"> </w:t>
      </w:r>
      <w:r>
        <w:rPr>
          <w:bCs/>
          <w:b/>
        </w:rPr>
        <w:t xml:space="preserve">pqdihejfkj</w:t>
      </w:r>
      <w:r>
        <w:t xml:space="preserve">. This parameter quantifies the electricity or other energy consumed by the product during its operational lifespan. This will be multiplied by the relevant electricity emission factor for the region of use.</w:t>
      </w:r>
    </w:p>
    <w:bookmarkEnd w:id="34"/>
    <w:bookmarkStart w:id="35" w:name="end-of-life-eol"/>
    <w:p>
      <w:pPr>
        <w:pStyle w:val="Heading2"/>
      </w:pPr>
      <w:r>
        <w:t xml:space="preserve">2.5. End-of-Life (EoL)</w:t>
      </w:r>
    </w:p>
    <w:p>
      <w:pPr>
        <w:pStyle w:val="FirstParagraph"/>
      </w:pPr>
      <w:r>
        <w:t xml:space="preserve">End-of-Life scenarios are incorporated to reflect circular economy impacts.</w:t>
      </w:r>
    </w:p>
    <w:p>
      <w:pPr>
        <w:numPr>
          <w:ilvl w:val="0"/>
          <w:numId w:val="1005"/>
        </w:numPr>
        <w:pStyle w:val="Compact"/>
      </w:pPr>
      <w:r>
        <w:rPr>
          <w:bCs/>
          <w:b/>
        </w:rPr>
        <w:t xml:space="preserve">Recyclability Percentage:</w:t>
      </w:r>
      <w:r>
        <w:t xml:space="preserve"> </w:t>
      </w:r>
      <w:r>
        <w:rPr>
          <w:bCs/>
          <w:b/>
        </w:rPr>
        <w:t xml:space="preserve">pfhkhgmqmt</w:t>
      </w:r>
      <w:r>
        <w:t xml:space="preserve">. This percentage influences the amount of material diverted from landfill or incineration and potentially reduces the demand for virgin materials.</w:t>
      </w:r>
    </w:p>
    <w:p>
      <w:pPr>
        <w:numPr>
          <w:ilvl w:val="0"/>
          <w:numId w:val="1005"/>
        </w:numPr>
        <w:pStyle w:val="Compact"/>
      </w:pPr>
      <w:r>
        <w:rPr>
          <w:bCs/>
          <w:b/>
        </w:rPr>
        <w:t xml:space="preserve">Circular/Take-back Programs:</w:t>
      </w:r>
      <w:r>
        <w:t xml:space="preserve"> </w:t>
      </w:r>
      <w:r>
        <w:rPr>
          <w:bCs/>
          <w:b/>
        </w:rPr>
        <w:t xml:space="preserve">yrydehiuhj</w:t>
      </w:r>
      <w:r>
        <w:t xml:space="preserve">. The presence and effectiveness of such programs reduce waste and promote material cycling, impacting the overall EoL emissions.</w:t>
      </w:r>
    </w:p>
    <w:p>
      <w:r>
        <w:pict>
          <v:rect style="width:0;height:1.5pt" o:hralign="center" o:hrstd="t" o:hr="t"/>
        </w:pict>
      </w:r>
    </w:p>
    <w:bookmarkEnd w:id="35"/>
    <w:bookmarkEnd w:id="36"/>
    <w:bookmarkStart w:id="41" w:name="X439a6e6dcb43c636bf515ffaf3f59bce0bd6490"/>
    <w:p>
      <w:pPr>
        <w:pStyle w:val="Heading1"/>
      </w:pPr>
      <w:r>
        <w:t xml:space="preserve">4. Emission Calculation (Activity * Emission Factor = CO2e)</w:t>
      </w:r>
    </w:p>
    <w:p>
      <w:pPr>
        <w:pStyle w:val="FirstParagraph"/>
      </w:pPr>
      <w:r>
        <w:t xml:space="preserve">Emissions are calculated for each stage of the product\'s lifecycle by multiplying the activity data (e.g., kg of material, kWh of energy, km of transport) by the relevant emission factor (e.g., kg CO2e/kg material, kg CO2e/kWh, kg CO2e/tkm). Industry-standard emission factors from databases such as Ecoinvent and DEFRA are used.</w:t>
      </w:r>
    </w:p>
    <w:bookmarkStart w:id="37" w:name="scope-1-emissions"/>
    <w:p>
      <w:pPr>
        <w:pStyle w:val="Heading2"/>
      </w:pPr>
      <w:r>
        <w:t xml:space="preserve">4.1. Scope 1 Emissions</w:t>
      </w:r>
    </w:p>
    <w:p>
      <w:pPr>
        <w:pStyle w:val="FirstParagraph"/>
      </w:pPr>
      <w:r>
        <w:t xml:space="preserve">For dolszuxplm\'s operations related to mrdirlpthq, Scope 1 emissions would include direct emissions from owned or controlled sources. Given the \'factory_gate\' boundary, this primarily covers on-site fuel combustion for manufacturing processes or company-owned fleet vehicles used within the factory premises.</w:t>
      </w:r>
    </w:p>
    <w:p>
      <w:pPr>
        <w:pStyle w:val="BodyText"/>
      </w:pPr>
      <w:r>
        <w:t xml:space="preserve">*Example Calculation:*</w:t>
      </w:r>
      <w:r>
        <w:t xml:space="preserve"> </w:t>
      </w:r>
      <w:r>
        <w:rPr>
          <w:rStyle w:val="VerbatimChar"/>
        </w:rPr>
        <w:t xml:space="preserve">Direct Fuel Consumption (liters) * Emission Factor (kg CO2e/liter)</w:t>
      </w:r>
    </w:p>
    <w:bookmarkEnd w:id="37"/>
    <w:bookmarkStart w:id="38" w:name="scope-2-emissions"/>
    <w:p>
      <w:pPr>
        <w:pStyle w:val="Heading2"/>
      </w:pPr>
      <w:r>
        <w:t xml:space="preserve">4.2. Scope 2 Emissions</w:t>
      </w:r>
    </w:p>
    <w:p>
      <w:pPr>
        <w:pStyle w:val="FirstParagraph"/>
      </w:pPr>
      <w:r>
        <w:t xml:space="preserve">Scope 2 emissions account for indirect emissions from purchased electricity, heat, or steam used in the manufacturing of mrdirlpthq. The calculation integrates the provided energy intensity and renewable energy usage.</w:t>
      </w:r>
    </w:p>
    <w:p>
      <w:pPr>
        <w:pStyle w:val="BodyText"/>
      </w:pPr>
      <w:r>
        <w:t xml:space="preserve">*Example Calculation:*</w:t>
      </w:r>
      <w:r>
        <w:t xml:space="preserve"> </w:t>
      </w:r>
      <w:r>
        <w:rPr>
          <w:rStyle w:val="VerbatimChar"/>
        </w:rPr>
        <w:t xml:space="preserve">Energy Intensity (sxynzfofhm kWh/unit) * (1 - Renewable Energy Usage (dorhjvlmmv)) * Grid Electricity Emission Factor (kg CO2e/kWh)</w:t>
      </w:r>
    </w:p>
    <w:bookmarkEnd w:id="38"/>
    <w:bookmarkStart w:id="39" w:name="scope-3-emissions"/>
    <w:p>
      <w:pPr>
        <w:pStyle w:val="Heading2"/>
      </w:pPr>
      <w:r>
        <w:t xml:space="preserve">4.3. Scope 3 Emissions</w:t>
      </w:r>
    </w:p>
    <w:p>
      <w:pPr>
        <w:pStyle w:val="FirstParagraph"/>
      </w:pPr>
      <w:r>
        <w:t xml:space="preserve">Scope 3 emissions, which encompass the entire value chain, are typically the largest portion of a product\'s carbon footprint. For mrdirlpthq, these include:</w:t>
      </w:r>
    </w:p>
    <w:p>
      <w:pPr>
        <w:numPr>
          <w:ilvl w:val="0"/>
          <w:numId w:val="1006"/>
        </w:numPr>
        <w:pStyle w:val="Compact"/>
      </w:pPr>
      <w:r>
        <w:rPr>
          <w:bCs/>
          <w:b/>
        </w:rPr>
        <w:t xml:space="preserve">Upstream Emissions (Categories 1-8):</w:t>
      </w:r>
    </w:p>
    <w:p>
      <w:pPr>
        <w:numPr>
          <w:ilvl w:val="1"/>
          <w:numId w:val="1007"/>
        </w:numPr>
        <w:pStyle w:val="Compact"/>
      </w:pPr>
      <w:r>
        <w:rPr>
          <w:bCs/>
          <w:b/>
        </w:rPr>
        <w:t xml:space="preserve">Purchased Goods and Services (Raw Materials):</w:t>
      </w:r>
      <w:r>
        <w:t xml:space="preserve"> </w:t>
      </w:r>
      <w:r>
        <w:t xml:space="preserve">Calculated using the detailed BOM (pqmilpel), multiplying the quantity of each material by its respective emission factor.</w:t>
      </w:r>
    </w:p>
    <w:p>
      <w:pPr>
        <w:numPr>
          <w:ilvl w:val="1"/>
          <w:numId w:val="1007"/>
        </w:numPr>
        <w:pStyle w:val="Compact"/>
      </w:pPr>
      <w:r>
        <w:rPr>
          <w:bCs/>
          <w:b/>
        </w:rPr>
        <w:t xml:space="preserve">Capital Goods:</w:t>
      </w:r>
      <w:r>
        <w:t xml:space="preserve"> </w:t>
      </w:r>
      <w:r>
        <w:t xml:space="preserve">Emissions from the production of machinery and equipment used in manufacturing.</w:t>
      </w:r>
    </w:p>
    <w:p>
      <w:pPr>
        <w:numPr>
          <w:ilvl w:val="1"/>
          <w:numId w:val="1007"/>
        </w:numPr>
        <w:pStyle w:val="Compact"/>
      </w:pPr>
      <w:r>
        <w:rPr>
          <w:bCs/>
          <w:b/>
        </w:rPr>
        <w:t xml:space="preserve">Fuel- and Energy-Related Activities (not included in Scope 1 or 2):</w:t>
      </w:r>
      <w:r>
        <w:t xml:space="preserve"> </w:t>
      </w:r>
      <w:r>
        <w:t xml:space="preserve">Emissions from the extraction, production, and transportation of fuels consumed by the company.</w:t>
      </w:r>
    </w:p>
    <w:p>
      <w:pPr>
        <w:numPr>
          <w:ilvl w:val="1"/>
          <w:numId w:val="1007"/>
        </w:numPr>
        <w:pStyle w:val="Compact"/>
      </w:pPr>
      <w:r>
        <w:rPr>
          <w:bCs/>
          <w:b/>
        </w:rPr>
        <w:t xml:space="preserve">Upstream Transportation and Distribution:</w:t>
      </w:r>
      <w:r>
        <w:t xml:space="preserve"> </w:t>
      </w:r>
      <w:r>
        <w:t xml:space="preserve">Emissions from transporting raw materials and components to the dolszuxplm factory, utilizing \'Select Mode\' and \'qfwrsmwwer\' distance.</w:t>
      </w:r>
    </w:p>
    <w:p>
      <w:pPr>
        <w:numPr>
          <w:ilvl w:val="1"/>
          <w:numId w:val="1007"/>
        </w:numPr>
        <w:pStyle w:val="Compact"/>
      </w:pPr>
      <w:r>
        <w:rPr>
          <w:bCs/>
          <w:b/>
        </w:rPr>
        <w:t xml:space="preserve">Waste Generated in Operations:</w:t>
      </w:r>
      <w:r>
        <w:t xml:space="preserve"> </w:t>
      </w:r>
      <w:r>
        <w:t xml:space="preserve">Emissions from waste disposal during manufacturing.</w:t>
      </w:r>
    </w:p>
    <w:p>
      <w:pPr>
        <w:numPr>
          <w:ilvl w:val="0"/>
          <w:numId w:val="1006"/>
        </w:numPr>
        <w:pStyle w:val="Compact"/>
      </w:pPr>
      <w:r>
        <w:rPr>
          <w:bCs/>
          <w:b/>
        </w:rPr>
        <w:t xml:space="preserve">Downstream Emissions (Categories 9-15):</w:t>
      </w:r>
    </w:p>
    <w:p>
      <w:pPr>
        <w:numPr>
          <w:ilvl w:val="1"/>
          <w:numId w:val="1008"/>
        </w:numPr>
        <w:pStyle w:val="Compact"/>
      </w:pPr>
      <w:r>
        <w:rPr>
          <w:bCs/>
          <w:b/>
        </w:rPr>
        <w:t xml:space="preserve">Downstream Transportation and Distribution:</w:t>
      </w:r>
      <w:r>
        <w:t xml:space="preserve"> </w:t>
      </w:r>
      <w:r>
        <w:t xml:space="preserve">Emissions from transporting the finished product from the factory gate to the customer, including \'Last-Mile Delivery Channel: Delivery Type\'.</w:t>
      </w:r>
    </w:p>
    <w:p>
      <w:pPr>
        <w:numPr>
          <w:ilvl w:val="1"/>
          <w:numId w:val="1008"/>
        </w:numPr>
        <w:pStyle w:val="Compact"/>
      </w:pPr>
      <w:r>
        <w:rPr>
          <w:bCs/>
          <w:b/>
        </w:rPr>
        <w:t xml:space="preserve">Use of Sold Products:</w:t>
      </w:r>
      <w:r>
        <w:t xml:space="preserve"> </w:t>
      </w:r>
      <w:r>
        <w:t xml:space="preserve">Calculated based on the \'Product Lifespan: ukkwrrdzxn\' and \'Energy Consumption in Use: pqdihejfkj\', considering the electricity source in the region of use.</w:t>
      </w:r>
    </w:p>
    <w:p>
      <w:pPr>
        <w:numPr>
          <w:ilvl w:val="1"/>
          <w:numId w:val="1008"/>
        </w:numPr>
        <w:pStyle w:val="Compact"/>
      </w:pPr>
      <w:r>
        <w:rPr>
          <w:bCs/>
          <w:b/>
        </w:rPr>
        <w:t xml:space="preserve">End-of-Life Treatment of Sold Products:</w:t>
      </w:r>
      <w:r>
        <w:t xml:space="preserve"> </w:t>
      </w:r>
      <w:r>
        <w:t xml:space="preserve">Emissions from disposal or recycling, considering the \'Recyclability Percentage: pfhkhgmqmt\' and impact of \'Circular/Take-back Programs: yrydehiuhj\'.</w:t>
      </w:r>
    </w:p>
    <w:p>
      <w:pPr>
        <w:pStyle w:val="FirstParagraph"/>
      </w:pPr>
      <w:r>
        <w:t xml:space="preserve">The 2026 Scope 3 revisions also require disaggregation of reported emissions data based on data type (e.g., primary data vs. secondary data) to increase transparency.</w:t>
      </w:r>
    </w:p>
    <w:bookmarkEnd w:id="39"/>
    <w:bookmarkStart w:id="40" w:name="X5a4f551c90074bc557f30e0af419a5f70a48401"/>
    <w:p>
      <w:pPr>
        <w:pStyle w:val="Heading2"/>
      </w:pPr>
      <w:r>
        <w:t xml:space="preserve">4.4. 2026 Land Sector and Removals (LSR) Standard Application</w:t>
      </w:r>
    </w:p>
    <w:p>
      <w:pPr>
        <w:pStyle w:val="FirstParagraph"/>
      </w:pPr>
      <w:r>
        <w:t xml:space="preserve">The LSR Standard requires accounting for land management and land use change, CO₂ removals with storage in land and geologic carbon pools, and emissions from biogenic products. For mrdirlpthq, this is particularly relevant if raw materials are derived from agricultural or forestry activities within the supply chain, or if dolszuxplm engages in carbon removal initiatives. The standard mandates physical traceability to the sourcing region for removals and emissions when reporting with respect to specific spatial boundaries.</w:t>
      </w:r>
    </w:p>
    <w:p>
      <w:r>
        <w:pict>
          <v:rect style="width:0;height:1.5pt" o:hralign="center" o:hrstd="t" o:hr="t"/>
        </w:pict>
      </w:r>
    </w:p>
    <w:bookmarkEnd w:id="40"/>
    <w:bookmarkEnd w:id="41"/>
    <w:bookmarkStart w:id="45" w:name="review-report"/>
    <w:p>
      <w:pPr>
        <w:pStyle w:val="Heading1"/>
      </w:pPr>
      <w:r>
        <w:t xml:space="preserve">5. Review &amp; Report</w:t>
      </w:r>
    </w:p>
    <w:p>
      <w:pPr>
        <w:pStyle w:val="FirstParagraph"/>
      </w:pPr>
      <w:r>
        <w:t xml:space="preserve">The final stage involves reviewing the calculated emissions to identify hotspots and assess the reliability of the data.</w:t>
      </w:r>
    </w:p>
    <w:bookmarkStart w:id="42" w:name="hotspot-identification"/>
    <w:p>
      <w:pPr>
        <w:pStyle w:val="Heading2"/>
      </w:pPr>
      <w:r>
        <w:t xml:space="preserve">5.1. Hotspot Identification</w:t>
      </w:r>
    </w:p>
    <w:p>
      <w:pPr>
        <w:pStyle w:val="FirstParagraph"/>
      </w:pPr>
      <w:r>
        <w:t xml:space="preserve">Based on the illustrative data and typical product lifecycles, initial hotspots for mrdirlpthq are likely to include:</w:t>
      </w:r>
    </w:p>
    <w:p>
      <w:pPr>
        <w:numPr>
          <w:ilvl w:val="0"/>
          <w:numId w:val="1009"/>
        </w:numPr>
        <w:pStyle w:val="Compact"/>
      </w:pPr>
      <w:r>
        <w:rPr>
          <w:bCs/>
          <w:b/>
        </w:rPr>
        <w:t xml:space="preserve">Raw Material Acquisition:</w:t>
      </w:r>
      <w:r>
        <w:t xml:space="preserve"> </w:t>
      </w:r>
      <w:r>
        <w:t xml:space="preserve">Especially for energy-intensive materials like aluminum or silicon, as shown in the illustrative BOM.</w:t>
      </w:r>
    </w:p>
    <w:p>
      <w:pPr>
        <w:numPr>
          <w:ilvl w:val="0"/>
          <w:numId w:val="1009"/>
        </w:numPr>
        <w:pStyle w:val="Compact"/>
      </w:pPr>
      <w:r>
        <w:rPr>
          <w:bCs/>
          <w:b/>
        </w:rPr>
        <w:t xml:space="preserve">Manufacturing Energy Consumption:</w:t>
      </w:r>
      <w:r>
        <w:t xml:space="preserve"> </w:t>
      </w:r>
      <w:r>
        <w:t xml:space="preserve">Depending on the energy mix and efficiency, this can be a significant contributor to Scope 2 emissions.</w:t>
      </w:r>
    </w:p>
    <w:p>
      <w:pPr>
        <w:numPr>
          <w:ilvl w:val="0"/>
          <w:numId w:val="1009"/>
        </w:numPr>
        <w:pStyle w:val="Compact"/>
      </w:pPr>
      <w:r>
        <w:rPr>
          <w:bCs/>
          <w:b/>
        </w:rPr>
        <w:t xml:space="preserve">Use Phase Energy Consumption:</w:t>
      </w:r>
      <w:r>
        <w:t xml:space="preserve"> </w:t>
      </w:r>
      <w:r>
        <w:t xml:space="preserve">For products with a long lifespan and significant energy draw during use, this phase can dominate the total footprint.</w:t>
      </w:r>
    </w:p>
    <w:p>
      <w:pPr>
        <w:numPr>
          <w:ilvl w:val="0"/>
          <w:numId w:val="1009"/>
        </w:numPr>
        <w:pStyle w:val="Compact"/>
      </w:pPr>
      <w:r>
        <w:rPr>
          <w:bCs/>
          <w:b/>
        </w:rPr>
        <w:t xml:space="preserve">Transportation:</w:t>
      </w:r>
      <w:r>
        <w:t xml:space="preserve"> </w:t>
      </w:r>
      <w:r>
        <w:t xml:space="preserve">For long distances or inefficient modes (\'Select Mode\' and \'qfwrsmwwer\' distance), logistics can become a hotspot.</w:t>
      </w:r>
    </w:p>
    <w:bookmarkEnd w:id="42"/>
    <w:bookmarkStart w:id="43" w:name="data-reliability"/>
    <w:p>
      <w:pPr>
        <w:pStyle w:val="Heading2"/>
      </w:pPr>
      <w:r>
        <w:t xml:space="preserve">5.2. Data Reliability</w:t>
      </w:r>
    </w:p>
    <w:p>
      <w:pPr>
        <w:pStyle w:val="FirstParagraph"/>
      </w:pPr>
      <w:r>
        <w:t xml:space="preserve">The reliability of this PCF analysis is contingent on the accuracy and completeness of the provided input parameters. The use of a detailed BOM and specific operational data (energy intensity, renewable usage) enhances accuracy over generic estimates. However, the placeholder values for BOM emission factors and total carbon are illustrative; real-world data would require specific supplier engagement and Life Cycle Inventory (LCI) data.</w:t>
      </w:r>
    </w:p>
    <w:p>
      <w:pPr>
        <w:pStyle w:val="BodyText"/>
      </w:pPr>
      <w:r>
        <w:t xml:space="preserve">The 2026 Scope 3 revisions emphasize a shift towards primary data and mandatory disaggregation by data type to improve transparency and credibility.</w:t>
      </w:r>
    </w:p>
    <w:bookmarkEnd w:id="43"/>
    <w:bookmarkStart w:id="44" w:name="recommendations-for-emission-reduction"/>
    <w:p>
      <w:pPr>
        <w:pStyle w:val="Heading2"/>
      </w:pPr>
      <w:r>
        <w:t xml:space="preserve">5.3. Recommendations for Emission Reduction</w:t>
      </w:r>
    </w:p>
    <w:p>
      <w:pPr>
        <w:numPr>
          <w:ilvl w:val="0"/>
          <w:numId w:val="1010"/>
        </w:numPr>
        <w:pStyle w:val="Compact"/>
      </w:pPr>
      <w:r>
        <w:rPr>
          <w:bCs/>
          <w:b/>
        </w:rPr>
        <w:t xml:space="preserve">Material Optimization:</w:t>
      </w:r>
      <w:r>
        <w:t xml:space="preserve"> </w:t>
      </w:r>
      <w:r>
        <w:t xml:space="preserve">Explore alternative, lower-impact materials or increase recycled content beyond \'pfhkhgmqmt\' percentage.</w:t>
      </w:r>
    </w:p>
    <w:p>
      <w:pPr>
        <w:numPr>
          <w:ilvl w:val="0"/>
          <w:numId w:val="1010"/>
        </w:numPr>
        <w:pStyle w:val="Compact"/>
      </w:pPr>
      <w:r>
        <w:rPr>
          <w:bCs/>
          <w:b/>
        </w:rPr>
        <w:t xml:space="preserve">Energy Efficiency:</w:t>
      </w:r>
      <w:r>
        <w:t xml:space="preserve"> </w:t>
      </w:r>
      <w:r>
        <w:t xml:space="preserve">Invest in energy-efficient manufacturing processes and increase renewable energy sourcing beyond \'dorhjvlmmv\' at the China production facility.</w:t>
      </w:r>
    </w:p>
    <w:p>
      <w:pPr>
        <w:numPr>
          <w:ilvl w:val="0"/>
          <w:numId w:val="1010"/>
        </w:numPr>
        <w:pStyle w:val="Compact"/>
      </w:pPr>
      <w:r>
        <w:rPr>
          <w:bCs/>
          <w:b/>
        </w:rPr>
        <w:t xml:space="preserve">Logistics Optimization:</w:t>
      </w:r>
      <w:r>
        <w:t xml:space="preserve"> </w:t>
      </w:r>
      <w:r>
        <w:t xml:space="preserve">Optimize transport routes, modes (\'Select Mode\'), and distances (\'qfwrsmwwer\') to reduce fuel consumption and associated emissions.</w:t>
      </w:r>
    </w:p>
    <w:p>
      <w:pPr>
        <w:numPr>
          <w:ilvl w:val="0"/>
          <w:numId w:val="1010"/>
        </w:numPr>
        <w:pStyle w:val="Compact"/>
      </w:pPr>
      <w:r>
        <w:rPr>
          <w:bCs/>
          <w:b/>
        </w:rPr>
        <w:t xml:space="preserve">Product Design for Longevity and Circularity:</w:t>
      </w:r>
      <w:r>
        <w:t xml:space="preserve"> </w:t>
      </w:r>
      <w:r>
        <w:t xml:space="preserve">Enhance product durability (\'ukkwrrdzxn\') and design for easier disassembly, repair, and recycling. Expand \'Circular/Take-back Programs: yrydehiuhj\'.</w:t>
      </w:r>
    </w:p>
    <w:p>
      <w:pPr>
        <w:numPr>
          <w:ilvl w:val="0"/>
          <w:numId w:val="1010"/>
        </w:numPr>
        <w:pStyle w:val="Compact"/>
      </w:pPr>
      <w:r>
        <w:rPr>
          <w:bCs/>
          <w:b/>
        </w:rPr>
        <w:t xml:space="preserve">Supply Chain Engagement:</w:t>
      </w:r>
      <w:r>
        <w:t xml:space="preserve"> </w:t>
      </w:r>
      <w:r>
        <w:t xml:space="preserve">Collaborate with suppliers to improve their environmental performance and obtain primary data for more accurate Scope 3 reporting.</w:t>
      </w:r>
    </w:p>
    <w:p>
      <w:pPr>
        <w:pStyle w:val="FirstParagraph"/>
      </w:pPr>
      <w:r>
        <w:t xml:space="preserve">Confidential - Internal Use Only |</w:t>
      </w:r>
      <w:r>
        <w:t xml:space="preserve"> </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mrdirlpthq</dc:title>
  <dc:creator/>
  <dc:description>High-detail Product Carbon Footprint (PCF) analysis for mrdirlpthq by qxokmqfxiq, Senior Sustainability Consultant at dolszuxplm, adhering to GHG Protocol and 2026 LSR Update.</dc:description>
  <dc:language>en</dc:language>
  <cp:keywords/>
  <dcterms:created xsi:type="dcterms:W3CDTF">2026-07-15T01:23:10Z</dcterms:created>
  <dcterms:modified xsi:type="dcterms:W3CDTF">2026-07-15T01:23:10Z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