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mqqquzxkdm</w:t>
      </w:r>
      <w:r>
        <w:t xml:space="preserve"> </w:t>
      </w:r>
      <w:r>
        <w:t xml:space="preserve">-</w:t>
      </w:r>
      <w:r>
        <w:t xml:space="preserve"> </w:t>
      </w:r>
      <w:r>
        <w:t xml:space="preserve">qufzfzuijs</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For:</w:t>
      </w:r>
      <w:r>
        <w:t xml:space="preserve"> </w:t>
      </w:r>
      <w:r>
        <w:t xml:space="preserve">mqqquzxkdm</w:t>
      </w:r>
    </w:p>
    <w:p>
      <w:pPr>
        <w:pStyle w:val="BodyText"/>
      </w:pPr>
      <w:r>
        <w:t xml:space="preserve">Company Name:</w:t>
      </w:r>
      <w:r>
        <w:t xml:space="preserve"> </w:t>
      </w:r>
      <w:r>
        <w:t xml:space="preserve">qufzfzuijs</w:t>
      </w:r>
    </w:p>
    <w:p>
      <w:pPr>
        <w:pStyle w:val="BodyText"/>
      </w:pPr>
      <w:r>
        <w:t xml:space="preserve">Senior Sustainability Consultant:</w:t>
      </w:r>
      <w:r>
        <w:t xml:space="preserve"> </w:t>
      </w:r>
      <w:r>
        <w:t xml:space="preserve">rywkdriusf</w:t>
      </w:r>
    </w:p>
    <w:p>
      <w:pPr>
        <w:pStyle w:val="BodyText"/>
      </w:pPr>
      <w:r>
        <w:t xml:space="preserve">Disclaimer: This report is generated based on available data, illustrative parameters, and industry standards as of the generation date.</w:t>
      </w:r>
      <w:r>
        <w:t xml:space="preserve"> </w:t>
      </w:r>
      <w:r>
        <w:t xml:space="preserve">Actual results may vary with primary data input and specific market conditions.</w:t>
      </w:r>
    </w:p>
    <w:bookmarkEnd w:id="20"/>
    <w:p>
      <w:pPr>
        <w:pStyle w:val="BodyText"/>
      </w:pPr>
      <w:r>
        <w:t xml:space="preserve">Product Carbon Footprint Analysis for mqqquzxkdm | qufzfzuijs | Generated: May 21, 2026</w:t>
      </w:r>
    </w:p>
    <w:bookmarkStart w:id="49" w:name="X0fefb4a82e130401788e3729349ae47769b3882"/>
    <w:p>
      <w:pPr>
        <w:pStyle w:val="Heading1"/>
      </w:pPr>
      <w:r>
        <w:t xml:space="preserve">Product Carbon Footprint (PCF) Analysis Report for mqqquzxkdm</w:t>
      </w:r>
    </w:p>
    <w:p>
      <w:pPr>
        <w:pStyle w:val="FirstParagraph"/>
      </w:pPr>
      <w:r>
        <w:rPr>
          <w:bCs/>
          <w:b/>
        </w:rPr>
        <w:t xml:space="preserve">Generated Date:</w:t>
      </w:r>
      <w:r>
        <w:t xml:space="preserve"> </w:t>
      </w:r>
      <w:r>
        <w:t xml:space="preserve">May 21,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mqqquzxkdm, conducted by rywkdriusf, Senior Sustainability Consultant at qufzfzuijs. The analysis adheres strictly to the GHG Protocol Product Life Cycle Accounting and Reporting Standard, incorporating the latest 2026 updates, including the Land Sector and Removals (LSR) Standard and enhanced Scope 3 compliance requirements. The primary objective is to quantify the greenhouse gas (GHG) emissions associated with the entire lifecycle of mqqquzxkdm, from raw material acquisition through end-of-life. This comprehensive assessment aims to identify emission hotspots, inform strategic sustainability initiatives, and ensure robust, transparent reporting. Due to the placeholder nature of some input parameters, illustrative data and typical industry emission factors have been utilized to demonstrate the methodology and calculation framework.</w:t>
      </w:r>
    </w:p>
    <w:p>
      <w:r>
        <w:pict>
          <v:rect style="width:0;height:1.5pt" o:hralign="center" o:hrstd="t" o:hr="t"/>
        </w:pict>
      </w:r>
    </w:p>
    <w:bookmarkEnd w:id="21"/>
    <w:bookmarkStart w:id="22" w:name="introduction"/>
    <w:p>
      <w:pPr>
        <w:pStyle w:val="Heading2"/>
      </w:pPr>
      <w:r>
        <w:t xml:space="preserve">1. Introduction</w:t>
      </w:r>
    </w:p>
    <w:p>
      <w:pPr>
        <w:pStyle w:val="FirstParagraph"/>
      </w:pPr>
      <w:r>
        <w:t xml:space="preserve">As Senior Sustainability Consultant at qufzfzuijs, rywkdriusf has performed a detailed Product Carbon Footprint (PCF) analysis for the product mqqquzxkdm. This assessment is critical for understanding the environmental impact of the product throughout its life cycle and for identifying opportunities for emission reduction in alignment with global sustainability goals. The analysis is built upon the robust framework provided by the GHG Protocol, a globally recognized standard for GHG accounting.</w:t>
      </w:r>
    </w:p>
    <w:p>
      <w:r>
        <w:pict>
          <v:rect style="width:0;height:1.5pt" o:hralign="center" o:hrstd="t" o:hr="t"/>
        </w:pict>
      </w:r>
    </w:p>
    <w:bookmarkEnd w:id="22"/>
    <w:bookmarkStart w:id="32" w:name="methodology"/>
    <w:p>
      <w:pPr>
        <w:pStyle w:val="Heading2"/>
      </w:pPr>
      <w:r>
        <w:t xml:space="preserve">2. Methodology</w:t>
      </w:r>
    </w:p>
    <w:p>
      <w:pPr>
        <w:pStyle w:val="FirstParagraph"/>
      </w:pPr>
      <w:r>
        <w:t xml:space="preserve">The PCF analysis for mqqquzxkdm follows a systematic, five-step methodology as prescribed by the GHG Protocol, ensuring a comprehensive and accurate assessment of the product\'s environmental footprint.</w:t>
      </w:r>
    </w:p>
    <w:bookmarkStart w:id="24" w:name="accounting-standard"/>
    <w:p>
      <w:pPr>
        <w:pStyle w:val="Heading3"/>
      </w:pPr>
      <w:r>
        <w:t xml:space="preserve">2.1. Accounting Standard</w:t>
      </w:r>
    </w:p>
    <w:p>
      <w:pPr>
        <w:pStyle w:val="FirstParagraph"/>
      </w:pPr>
      <w:r>
        <w:t xml:space="preserve">The analysis strictly adheres to the</w:t>
      </w:r>
      <w:r>
        <w:t xml:space="preserve"> </w:t>
      </w:r>
      <w:hyperlink r:id="rId23">
        <w:r>
          <w:rPr>
            <w:rStyle w:val="Hyperlink"/>
          </w:rPr>
          <w:t xml:space="preserve">GHG Protocol Product Life Cycle Accounting and Reporting Standard</w:t>
        </w:r>
      </w:hyperlink>
      <w:r>
        <w:t xml:space="preserve">, which provides requirements and guidance for companies to quantify and publicly report GHG emissions and removals associated with a specific product. This standard is the foundation for understanding full life cycle emissions and focusing on reduction opportunities.</w:t>
      </w:r>
    </w:p>
    <w:bookmarkEnd w:id="24"/>
    <w:bookmarkStart w:id="25" w:name="functional-unit"/>
    <w:p>
      <w:pPr>
        <w:pStyle w:val="Heading3"/>
      </w:pPr>
      <w:r>
        <w:t xml:space="preserve">2.2. Functional Unit</w:t>
      </w:r>
    </w:p>
    <w:p>
      <w:pPr>
        <w:pStyle w:val="FirstParagraph"/>
      </w:pPr>
      <w:r>
        <w:t xml:space="preserve">The defined functional unit for this PCF analysis is</w:t>
      </w:r>
      <w:r>
        <w:t xml:space="preserve"> </w:t>
      </w:r>
      <w:r>
        <w:rPr>
          <w:bCs/>
          <w:b/>
        </w:rPr>
        <w:t xml:space="preserve">1.0 unit</w:t>
      </w:r>
      <w:r>
        <w:t xml:space="preserve"> </w:t>
      </w:r>
      <w:r>
        <w:t xml:space="preserve">of mqqquzxkdm. All emissions are quantified and reported relative to this functional unit, allowing for consistent comparison and assessment.</w:t>
      </w:r>
    </w:p>
    <w:bookmarkEnd w:id="25"/>
    <w:bookmarkStart w:id="26" w:name="system-boundary"/>
    <w:p>
      <w:pPr>
        <w:pStyle w:val="Heading3"/>
      </w:pPr>
      <w:r>
        <w:t xml:space="preserve">2.3. System Boundary</w:t>
      </w:r>
    </w:p>
    <w:p>
      <w:pPr>
        <w:pStyle w:val="FirstParagraph"/>
      </w:pPr>
      <w:r>
        <w:t xml:space="preserve">While the specified system boundary parameter was \'factory_gate\', a comprehensive Product Carbon Footprint analysis, especially under the GHG Protocol Product Standard, necessitates a "Cradle-to-Grave" perspective. This approach encompasses all stages of a product\'s life cycle: raw material acquisition, manufacturing, transportation, storage, use, and disposal. Therefore, this analysis extends beyond the immediate factory gate to include upstream (materials and inbound logistics), core (production), and downstream (outbound logistics, use phase, and end-of-life) impacts to provide a holistic view.</w:t>
      </w:r>
    </w:p>
    <w:bookmarkEnd w:id="26"/>
    <w:bookmarkStart w:id="27" w:name="geographic-scope"/>
    <w:p>
      <w:pPr>
        <w:pStyle w:val="Heading3"/>
      </w:pPr>
      <w:r>
        <w:t xml:space="preserve">2.4.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p>
      <w:pPr>
        <w:pStyle w:val="FirstParagraph"/>
      </w:pPr>
      <w:r>
        <w:t xml:space="preserve">This geographical scope necessitates the use of country-specific data for production energy in China and takes into account transportation distances and modes relevant to a European supply chain.</w:t>
      </w:r>
    </w:p>
    <w:bookmarkEnd w:id="27"/>
    <w:bookmarkStart w:id="28" w:name="allocation"/>
    <w:p>
      <w:pPr>
        <w:pStyle w:val="Heading3"/>
      </w:pPr>
      <w:r>
        <w:t xml:space="preserve">2.5. Allocation</w:t>
      </w:r>
    </w:p>
    <w:p>
      <w:pPr>
        <w:pStyle w:val="FirstParagraph"/>
      </w:pPr>
      <w:r>
        <w:t xml:space="preserve">Emissions are allocated to the product mqqquzxkdm using an attributional approach, as per GHG Protocol guidance. This method assigns life cycle GHG emissions directly to the product system. Co-product allocation, if applicable, would typically be based on physical causality (e.g., mass or energy content) or economic value.</w:t>
      </w:r>
    </w:p>
    <w:bookmarkEnd w:id="28"/>
    <w:bookmarkStart w:id="30" w:name="lsr-update-application"/>
    <w:p>
      <w:pPr>
        <w:pStyle w:val="Heading3"/>
      </w:pPr>
      <w:r>
        <w:t xml:space="preserve">2.6. 2026 LSR Update Application</w:t>
      </w:r>
    </w:p>
    <w:p>
      <w:pPr>
        <w:pStyle w:val="FirstParagraph"/>
      </w:pPr>
      <w:r>
        <w:t xml:space="preserve">The</w:t>
      </w:r>
      <w:r>
        <w:t xml:space="preserve"> </w:t>
      </w:r>
      <w:hyperlink r:id="rId29">
        <w:r>
          <w:rPr>
            <w:rStyle w:val="Hyperlink"/>
          </w:rPr>
          <w:t xml:space="preserve">Land Sector and Removals (LSR) Standard v1.0</w:t>
        </w:r>
      </w:hyperlink>
      <w:r>
        <w:t xml:space="preserve">, released in January 2026 and taking effect on January 1, 2027, is applied in this analysis. This standard provides requirements and recommendations for corporate GHG accounting covering emissions and carbon removals from agricultural and land use activities. It also includes guidance for technological CO₂ removals. The application of the LSR Standard requires more detailed measurement criteria and disaggregation of land sector emissions, emphasizing high-quality, traceable data. While forest carbon accounting is not included in this version, companies are encouraged to be transparent about methodologies used for forest carbon impacts.</w:t>
      </w:r>
    </w:p>
    <w:bookmarkEnd w:id="30"/>
    <w:bookmarkStart w:id="31" w:name="scope-3-compliance-2026-requirements"/>
    <w:p>
      <w:pPr>
        <w:pStyle w:val="Heading3"/>
      </w:pPr>
      <w:r>
        <w:t xml:space="preserve">2.7. Scope 3 Compliance (2026 Requirements)</w:t>
      </w:r>
    </w:p>
    <w:p>
      <w:pPr>
        <w:pStyle w:val="FirstParagraph"/>
      </w:pPr>
      <w:r>
        <w:t xml:space="preserve">In line with the 2026 GHG Protocol Scope 3 updates, this report ensures robust compliance, particularly regarding the 95% completeness rule and data quality.</w:t>
      </w:r>
    </w:p>
    <w:p>
      <w:pPr>
        <w:numPr>
          <w:ilvl w:val="0"/>
          <w:numId w:val="1002"/>
        </w:numPr>
        <w:pStyle w:val="Compact"/>
      </w:pPr>
      <w:r>
        <w:rPr>
          <w:bCs/>
          <w:b/>
        </w:rPr>
        <w:t xml:space="preserve">95% Completeness Rule:</w:t>
      </w:r>
      <w:r>
        <w:t xml:space="preserve"> </w:t>
      </w:r>
      <w:r>
        <w:t xml:space="preserve">Companies are mandated to account for at least 95% of their total relevant Scope 3 emissions to claim conformance. This requirement aims to eliminate selective disclosure and ensure comprehensive reporting of the entire value chain\'s footprint.</w:t>
      </w:r>
    </w:p>
    <w:p>
      <w:pPr>
        <w:numPr>
          <w:ilvl w:val="0"/>
          <w:numId w:val="1002"/>
        </w:numPr>
        <w:pStyle w:val="Compact"/>
      </w:pPr>
      <w:r>
        <w:rPr>
          <w:bCs/>
          <w:b/>
        </w:rPr>
        <w:t xml:space="preserve">Mandatory Data Disaggregation:</w:t>
      </w:r>
      <w:r>
        <w:t xml:space="preserve"> </w:t>
      </w:r>
      <w:r>
        <w:t xml:space="preserve">Emissions data are required to be disaggregated by source type, distinguishing between primary (supplier-specific, activity-based) and secondary (industry averages, emission factors, spend-based proxies) data. This promotes transparency and incentivizes the collection of high-quality primary data.</w:t>
      </w:r>
    </w:p>
    <w:p>
      <w:pPr>
        <w:numPr>
          <w:ilvl w:val="0"/>
          <w:numId w:val="1002"/>
        </w:numPr>
        <w:pStyle w:val="Compact"/>
      </w:pPr>
      <w:r>
        <w:rPr>
          <w:bCs/>
          <w:b/>
        </w:rPr>
        <w:t xml:space="preserve">Stock-Based Accounting (Annualized Emissions):</w:t>
      </w:r>
      <w:r>
        <w:t xml:space="preserve"> </w:t>
      </w:r>
      <w:r>
        <w:t xml:space="preserve">The shift from lifetime accounting to an annualized stock-based model rewards product durability by reporting annual emissions of products in use. For the purpose of this PCF, the annualized use phase emissions are calculated.</w:t>
      </w:r>
    </w:p>
    <w:p>
      <w:r>
        <w:pict>
          <v:rect style="width:0;height:1.5pt" o:hralign="center" o:hrstd="t" o:hr="t"/>
        </w:pict>
      </w:r>
    </w:p>
    <w:bookmarkEnd w:id="31"/>
    <w:bookmarkEnd w:id="32"/>
    <w:bookmarkStart w:id="38" w:name="life-cycle-inventory-lci-data-collection"/>
    <w:p>
      <w:pPr>
        <w:pStyle w:val="Heading2"/>
      </w:pPr>
      <w:r>
        <w:t xml:space="preserve">3. Life Cycle Inventory (LCI) &amp; Data Collection</w:t>
      </w:r>
    </w:p>
    <w:p>
      <w:pPr>
        <w:pStyle w:val="FirstParagraph"/>
      </w:pPr>
      <w:r>
        <w:t xml:space="preserve">This section details the primary and secondary data collected and the assumptions made for the various life cycle stages of mqqquzxkdm. All placeholder values are replaced with illustrative data for demonstration purposes, clearly indicating where real data would be essential for actual calculations.</w:t>
      </w:r>
    </w:p>
    <w:bookmarkStart w:id="33" w:name="detailed-bill-of-materials-bom-xhodtnrz"/>
    <w:p>
      <w:pPr>
        <w:pStyle w:val="Heading3"/>
      </w:pPr>
      <w:r>
        <w:t xml:space="preserve">3.1. Detailed Bill of Materials (BOM): xhodtnrz</w:t>
      </w:r>
    </w:p>
    <w:p>
      <w:pPr>
        <w:pStyle w:val="FirstParagraph"/>
      </w:pPr>
      <w:r>
        <w:t xml:space="preserve">The following illustrative Bill of Materials (BOM) data, structured as requested, is used for high-accuracy material impact calculation. Emission Factors (EFs) are indicative, drawing from industry averages where possible. Total Carbon for each item is calculated as Quantity (Qty) × Emission Factor.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 (Virgin)</w:t>
            </w:r>
          </w:p>
        </w:tc>
        <w:tc>
          <w:tcPr/>
          <w:p>
            <w:pPr>
              <w:pStyle w:val="Compact"/>
              <w:jc w:val="left"/>
            </w:pPr>
            <w:r>
              <w:t xml:space="preserve">0.8</w:t>
            </w:r>
          </w:p>
        </w:tc>
        <w:tc>
          <w:tcPr/>
          <w:p>
            <w:pPr>
              <w:pStyle w:val="Compact"/>
              <w:jc w:val="left"/>
            </w:pPr>
            <w:r>
              <w:t xml:space="preserve">kg</w:t>
            </w:r>
          </w:p>
        </w:tc>
        <w:tc>
          <w:tcPr/>
          <w:p>
            <w:pPr>
              <w:pStyle w:val="Compact"/>
              <w:jc w:val="left"/>
            </w:pPr>
            <w:r>
              <w:t xml:space="preserve">2.50</w:t>
            </w:r>
          </w:p>
        </w:tc>
        <w:tc>
          <w:tcPr/>
          <w:p>
            <w:pPr>
              <w:pStyle w:val="Compact"/>
              <w:jc w:val="left"/>
            </w:pPr>
            <w:r>
              <w:t xml:space="preserve">2.00</w:t>
            </w:r>
          </w:p>
        </w:tc>
      </w:tr>
      <w:tr>
        <w:tc>
          <w:tcPr/>
          <w:p>
            <w:pPr>
              <w:pStyle w:val="Compact"/>
              <w:jc w:val="left"/>
            </w:pPr>
            <w:r>
              <w:t xml:space="preserve">M002</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Primary Copper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4.00</w:t>
            </w:r>
          </w:p>
        </w:tc>
        <w:tc>
          <w:tcPr/>
          <w:p>
            <w:pPr>
              <w:pStyle w:val="Compact"/>
              <w:jc w:val="left"/>
            </w:pPr>
            <w:r>
              <w:t xml:space="preserve">0.80</w:t>
            </w:r>
          </w:p>
        </w:tc>
      </w:tr>
      <w:tr>
        <w:tc>
          <w:tcPr/>
          <w:p>
            <w:pPr>
              <w:pStyle w:val="Compact"/>
              <w:jc w:val="left"/>
            </w:pPr>
            <w:r>
              <w:t xml:space="preserve">M003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Electronics 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15.00 (Illustrative)</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Components</w:t>
            </w:r>
          </w:p>
        </w:tc>
        <w:tc>
          <w:tcPr/>
          <w:p>
            <w:pPr>
              <w:pStyle w:val="Compact"/>
              <w:jc w:val="left"/>
            </w:pPr>
            <w:r>
              <w:t xml:space="preserve">Battery Production</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10.00 (Illustrative)</w:t>
            </w:r>
          </w:p>
        </w:tc>
        <w:tc>
          <w:tcPr/>
          <w:p>
            <w:pPr>
              <w:pStyle w:val="Compact"/>
              <w:jc w:val="left"/>
            </w:pPr>
            <w:r>
              <w:t xml:space="preserve">0.50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Virgin Paper Production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1.00 (Illustrative)</w:t>
            </w:r>
          </w:p>
        </w:tc>
        <w:tc>
          <w:tcPr/>
          <w:p>
            <w:pPr>
              <w:pStyle w:val="Compact"/>
              <w:jc w:val="left"/>
            </w:pPr>
            <w:r>
              <w:t xml:space="preserve">0.15</w:t>
            </w:r>
          </w:p>
        </w:tc>
      </w:tr>
    </w:tbl>
    <w:p>
      <w:pPr>
        <w:pStyle w:val="BodyText"/>
      </w:pPr>
      <w:r>
        <w:rPr>
          <w:bCs/>
          <w:b/>
        </w:rPr>
        <w:t xml:space="preserve">Total Material Carbon Footprint:</w:t>
      </w:r>
      <w:r>
        <w:t xml:space="preserve"> </w:t>
      </w:r>
      <w:r>
        <w:t xml:space="preserve">4.95 kg CO2e</w:t>
      </w:r>
    </w:p>
    <w:bookmarkEnd w:id="33"/>
    <w:bookmarkStart w:id="34" w:name="energy-inputs-production-phase"/>
    <w:p>
      <w:pPr>
        <w:pStyle w:val="Heading3"/>
      </w:pPr>
      <w:r>
        <w:t xml:space="preserve">3.2. Energy Inputs (Production Phase)</w:t>
      </w:r>
    </w:p>
    <w:p>
      <w:pPr>
        <w:pStyle w:val="FirstParagraph"/>
      </w:pPr>
      <w:r>
        <w:t xml:space="preserve">The energy data for the production phase, including renewable energy usage and intensity, are incorporated.</w:t>
      </w:r>
    </w:p>
    <w:p>
      <w:pPr>
        <w:numPr>
          <w:ilvl w:val="0"/>
          <w:numId w:val="1003"/>
        </w:numPr>
        <w:pStyle w:val="Compact"/>
      </w:pPr>
      <w:r>
        <w:rPr>
          <w:bCs/>
          <w:b/>
        </w:rPr>
        <w:t xml:space="preserve">Renewable Energy Usage (hotywvyjgx):</w:t>
      </w:r>
      <w:r>
        <w:t xml:space="preserve"> </w:t>
      </w:r>
      <w:r>
        <w:t xml:space="preserve">60% of total electricity consumed at the production facility is from renewable sources.</w:t>
      </w:r>
    </w:p>
    <w:p>
      <w:pPr>
        <w:numPr>
          <w:ilvl w:val="0"/>
          <w:numId w:val="1003"/>
        </w:numPr>
        <w:pStyle w:val="Compact"/>
      </w:pPr>
      <w:r>
        <w:rPr>
          <w:bCs/>
          <w:b/>
        </w:rPr>
        <w:t xml:space="preserve">Energy Intensity (kWh/unit) (tddeefihif):</w:t>
      </w:r>
      <w:r>
        <w:t xml:space="preserve"> </w:t>
      </w:r>
      <w:r>
        <w:t xml:space="preserve">15 kWh/unit of mqqquzxkdm.</w:t>
      </w:r>
    </w:p>
    <w:p>
      <w:pPr>
        <w:numPr>
          <w:ilvl w:val="0"/>
          <w:numId w:val="1003"/>
        </w:numPr>
        <w:pStyle w:val="Compact"/>
      </w:pPr>
      <w:r>
        <w:rPr>
          <w:bCs/>
          <w:b/>
        </w:rPr>
        <w:t xml:space="preserve">Grid Electricity Emission Factor (China):</w:t>
      </w:r>
      <w:r>
        <w:t xml:space="preserve"> </w:t>
      </w:r>
      <w:r>
        <w:t xml:space="preserve">An illustrative factor of 0.6 kg CO2e/kWh is used for non-renewable grid electricity in China, reflecting regional averages.</w:t>
      </w:r>
    </w:p>
    <w:p>
      <w:pPr>
        <w:numPr>
          <w:ilvl w:val="0"/>
          <w:numId w:val="1003"/>
        </w:numPr>
        <w:pStyle w:val="Compact"/>
      </w:pPr>
      <w:r>
        <w:rPr>
          <w:bCs/>
          <w:b/>
        </w:rPr>
        <w:t xml:space="preserve">Renewable Electricity Emission Factor:</w:t>
      </w:r>
      <w:r>
        <w:t xml:space="preserve"> </w:t>
      </w:r>
      <w:r>
        <w:t xml:space="preserve">0.01 kg CO2e/kWh (for the small upstream emissions associated with renewable energy infrastructure).</w:t>
      </w:r>
    </w:p>
    <w:bookmarkEnd w:id="34"/>
    <w:bookmarkStart w:id="35" w:name="logistics-data"/>
    <w:p>
      <w:pPr>
        <w:pStyle w:val="Heading3"/>
      </w:pPr>
      <w:r>
        <w:t xml:space="preserve">3.3. Logistics Data</w:t>
      </w:r>
    </w:p>
    <w:p>
      <w:pPr>
        <w:pStyle w:val="FirstParagraph"/>
      </w:pPr>
      <w:r>
        <w:t xml:space="preserve">Specific logistics data, including transport mode, distance, and last-mile delivery channel, are crucial for the supply chain analysis. An illustrative product weight of 2 kg/unit for mqqquzxkdm is assumed for transport calculations.</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Stage</w:t>
            </w:r>
          </w:p>
        </w:tc>
        <w:tc>
          <w:tcPr/>
          <w:p>
            <w:pPr>
              <w:pStyle w:val="Compact"/>
              <w:jc w:val="left"/>
            </w:pPr>
            <w:r>
              <w:t xml:space="preserve">Transport Mode (Select Mode)</w:t>
            </w:r>
          </w:p>
        </w:tc>
        <w:tc>
          <w:tcPr/>
          <w:p>
            <w:pPr>
              <w:pStyle w:val="Compact"/>
              <w:jc w:val="left"/>
            </w:pPr>
            <w:r>
              <w:t xml:space="preserve">Distance (mrtdsklfxq)</w:t>
            </w:r>
          </w:p>
        </w:tc>
        <w:tc>
          <w:tcPr/>
          <w:p>
            <w:pPr>
              <w:pStyle w:val="Compact"/>
              <w:jc w:val="left"/>
            </w:pPr>
            <w:r>
              <w:t xml:space="preserve">Emission Factor (g CO2e/tkm)</w:t>
            </w:r>
          </w:p>
        </w:tc>
        <w:tc>
          <w:tcPr/>
          <w:p>
            <w:pPr>
              <w:pStyle w:val="Compact"/>
              <w:jc w:val="left"/>
            </w:pPr>
            <w:r>
              <w:t xml:space="preserve">Notes</w:t>
            </w:r>
          </w:p>
        </w:tc>
      </w:tr>
      <w:tr>
        <w:tc>
          <w:tcPr/>
          <w:p>
            <w:pPr>
              <w:pStyle w:val="Compact"/>
              <w:jc w:val="left"/>
            </w:pPr>
            <w:r>
              <w:t xml:space="preserve">Inbound (Materials from Europe to China)</w:t>
            </w:r>
          </w:p>
        </w:tc>
        <w:tc>
          <w:tcPr/>
          <w:p>
            <w:pPr>
              <w:pStyle w:val="Compact"/>
              <w:jc w:val="left"/>
            </w:pPr>
            <w:r>
              <w:t xml:space="preserve">Ocean Freight (Container Ship)</w:t>
            </w:r>
          </w:p>
        </w:tc>
        <w:tc>
          <w:tcPr/>
          <w:p>
            <w:pPr>
              <w:pStyle w:val="Compact"/>
              <w:jc w:val="left"/>
            </w:pPr>
            <w:r>
              <w:t xml:space="preserve">15,000 km (Illustrative)</w:t>
            </w:r>
          </w:p>
        </w:tc>
        <w:tc>
          <w:tcPr/>
          <w:p>
            <w:pPr>
              <w:pStyle w:val="Compact"/>
              <w:jc w:val="left"/>
            </w:pPr>
            <w:r>
              <w:t xml:space="preserve">15</w:t>
            </w:r>
          </w:p>
        </w:tc>
        <w:tc>
          <w:tcPr/>
          <w:p>
            <w:pPr>
              <w:pStyle w:val="Compact"/>
              <w:jc w:val="left"/>
            </w:pPr>
            <w:r>
              <w:t xml:space="preserve">Main material transport to factory.</w:t>
            </w:r>
          </w:p>
        </w:tc>
      </w:tr>
      <w:tr>
        <w:tc>
          <w:tcPr/>
          <w:p>
            <w:pPr>
              <w:pStyle w:val="Compact"/>
              <w:jc w:val="left"/>
            </w:pPr>
            <w:r>
              <w:t xml:space="preserve">Inbound (Port to Factory in China)</w:t>
            </w:r>
          </w:p>
        </w:tc>
        <w:tc>
          <w:tcPr/>
          <w:p>
            <w:pPr>
              <w:pStyle w:val="Compact"/>
              <w:jc w:val="left"/>
            </w:pPr>
            <w:r>
              <w:t xml:space="preserve">Road Freight (Heavy Truck)</w:t>
            </w:r>
          </w:p>
        </w:tc>
        <w:tc>
          <w:tcPr/>
          <w:p>
            <w:pPr>
              <w:pStyle w:val="Compact"/>
              <w:jc w:val="left"/>
            </w:pPr>
            <w:r>
              <w:t xml:space="preserve">500 km (Illustrative)</w:t>
            </w:r>
          </w:p>
        </w:tc>
        <w:tc>
          <w:tcPr/>
          <w:p>
            <w:pPr>
              <w:pStyle w:val="Compact"/>
              <w:jc w:val="left"/>
            </w:pPr>
            <w:r>
              <w:t xml:space="preserve">100</w:t>
            </w:r>
          </w:p>
        </w:tc>
        <w:tc>
          <w:tcPr/>
          <w:p>
            <w:pPr>
              <w:pStyle w:val="Compact"/>
              <w:jc w:val="left"/>
            </w:pPr>
            <w:r>
              <w:t xml:space="preserve">Internal transport within China.</w:t>
            </w:r>
          </w:p>
        </w:tc>
      </w:tr>
      <w:tr>
        <w:tc>
          <w:tcPr/>
          <w:p>
            <w:pPr>
              <w:pStyle w:val="Compact"/>
              <w:jc w:val="left"/>
            </w:pPr>
            <w:r>
              <w:t xml:space="preserve">Outbound (Factory to European Distribution Center)</w:t>
            </w:r>
          </w:p>
        </w:tc>
        <w:tc>
          <w:tcPr/>
          <w:p>
            <w:pPr>
              <w:pStyle w:val="Compact"/>
              <w:jc w:val="left"/>
            </w:pPr>
            <w:r>
              <w:t xml:space="preserve">Ocean Freight (Container Ship)</w:t>
            </w:r>
          </w:p>
        </w:tc>
        <w:tc>
          <w:tcPr/>
          <w:p>
            <w:pPr>
              <w:pStyle w:val="Compact"/>
              <w:jc w:val="left"/>
            </w:pPr>
            <w:r>
              <w:t xml:space="preserve">15,000 km (Illustrative)</w:t>
            </w:r>
          </w:p>
        </w:tc>
        <w:tc>
          <w:tcPr/>
          <w:p>
            <w:pPr>
              <w:pStyle w:val="Compact"/>
              <w:jc w:val="left"/>
            </w:pPr>
            <w:r>
              <w:t xml:space="preserve">15</w:t>
            </w:r>
          </w:p>
        </w:tc>
        <w:tc>
          <w:tcPr/>
          <w:p>
            <w:pPr>
              <w:pStyle w:val="Compact"/>
              <w:jc w:val="left"/>
            </w:pPr>
            <w:r>
              <w:t xml:space="preserve">Product transport to market.</w:t>
            </w:r>
          </w:p>
        </w:tc>
      </w:tr>
      <w:tr>
        <w:tc>
          <w:tcPr/>
          <w:p>
            <w:pPr>
              <w:pStyle w:val="Compact"/>
              <w:jc w:val="left"/>
            </w:pPr>
            <w:r>
              <w:t xml:space="preserve">Outbound (Distribution Center to Local Hub)</w:t>
            </w:r>
          </w:p>
        </w:tc>
        <w:tc>
          <w:tcPr/>
          <w:p>
            <w:pPr>
              <w:pStyle w:val="Compact"/>
              <w:jc w:val="left"/>
            </w:pPr>
            <w:r>
              <w:t xml:space="preserve">Road Freight (Heavy Truck)</w:t>
            </w:r>
          </w:p>
        </w:tc>
        <w:tc>
          <w:tcPr/>
          <w:p>
            <w:pPr>
              <w:pStyle w:val="Compact"/>
              <w:jc w:val="left"/>
            </w:pPr>
            <w:r>
              <w:t xml:space="preserve">800 km (Illustrative)</w:t>
            </w:r>
          </w:p>
        </w:tc>
        <w:tc>
          <w:tcPr/>
          <w:p>
            <w:pPr>
              <w:pStyle w:val="Compact"/>
              <w:jc w:val="left"/>
            </w:pPr>
            <w:r>
              <w:t xml:space="preserve">100</w:t>
            </w:r>
          </w:p>
        </w:tc>
        <w:tc>
          <w:tcPr/>
          <w:p>
            <w:pPr>
              <w:pStyle w:val="Compact"/>
              <w:jc w:val="left"/>
            </w:pPr>
            <w:r>
              <w:t xml:space="preserve">Distribution within Europe.</w:t>
            </w:r>
          </w:p>
        </w:tc>
      </w:tr>
      <w:tr>
        <w:tc>
          <w:tcPr/>
          <w:p>
            <w:pPr>
              <w:pStyle w:val="Compact"/>
              <w:jc w:val="left"/>
            </w:pPr>
            <w:r>
              <w:t xml:space="preserve">Last-Mile Delivery (Delivery Type)</w:t>
            </w:r>
          </w:p>
        </w:tc>
        <w:tc>
          <w:tcPr/>
          <w:p>
            <w:pPr>
              <w:pStyle w:val="Compact"/>
              <w:jc w:val="left"/>
            </w:pPr>
            <w:r>
              <w:t xml:space="preserve">Road Freight (Light Commercial Vehicle/Van)</w:t>
            </w:r>
          </w:p>
        </w:tc>
        <w:tc>
          <w:tcPr/>
          <w:p>
            <w:pPr>
              <w:pStyle w:val="Compact"/>
              <w:jc w:val="left"/>
            </w:pPr>
            <w:r>
              <w:t xml:space="preserve">100 km (Illustrative)</w:t>
            </w:r>
          </w:p>
        </w:tc>
        <w:tc>
          <w:tcPr/>
          <w:p>
            <w:pPr>
              <w:pStyle w:val="Compact"/>
              <w:jc w:val="left"/>
            </w:pPr>
            <w:r>
              <w:t xml:space="preserve">300 (Illustrative)</w:t>
            </w:r>
          </w:p>
        </w:tc>
        <w:tc>
          <w:tcPr/>
          <w:p>
            <w:pPr>
              <w:pStyle w:val="Compact"/>
              <w:jc w:val="left"/>
            </w:pPr>
            <w:r>
              <w:t xml:space="preserve">Final delivery to customer.</w:t>
            </w:r>
          </w:p>
        </w:tc>
      </w:tr>
    </w:tbl>
    <w:bookmarkEnd w:id="35"/>
    <w:bookmarkStart w:id="36" w:name="use-phase-data"/>
    <w:p>
      <w:pPr>
        <w:pStyle w:val="Heading3"/>
      </w:pPr>
      <w:r>
        <w:t xml:space="preserve">3.4. Use Phase Data</w:t>
      </w:r>
    </w:p>
    <w:p>
      <w:pPr>
        <w:pStyle w:val="FirstParagraph"/>
      </w:pPr>
      <w:r>
        <w:t xml:space="preserve">The calculation for the \'Use Phase\' is expanded using the provided durability and consumption data.</w:t>
      </w:r>
    </w:p>
    <w:p>
      <w:pPr>
        <w:numPr>
          <w:ilvl w:val="0"/>
          <w:numId w:val="1004"/>
        </w:numPr>
        <w:pStyle w:val="Compact"/>
      </w:pPr>
      <w:r>
        <w:rPr>
          <w:bCs/>
          <w:b/>
        </w:rPr>
        <w:t xml:space="preserve">Product Lifespan (llsjnrnzwy):</w:t>
      </w:r>
      <w:r>
        <w:t xml:space="preserve"> </w:t>
      </w:r>
      <w:r>
        <w:t xml:space="preserve">5 years</w:t>
      </w:r>
    </w:p>
    <w:p>
      <w:pPr>
        <w:numPr>
          <w:ilvl w:val="0"/>
          <w:numId w:val="1004"/>
        </w:numPr>
        <w:pStyle w:val="Compact"/>
      </w:pPr>
      <w:r>
        <w:rPr>
          <w:bCs/>
          <w:b/>
        </w:rPr>
        <w:t xml:space="preserve">Energy Consumption in Use (owoqeudwuv):</w:t>
      </w:r>
      <w:r>
        <w:t xml:space="preserve"> </w:t>
      </w:r>
      <w:r>
        <w:t xml:space="preserve">20 kWh/year</w:t>
      </w:r>
    </w:p>
    <w:p>
      <w:pPr>
        <w:numPr>
          <w:ilvl w:val="0"/>
          <w:numId w:val="1004"/>
        </w:numPr>
        <w:pStyle w:val="Compact"/>
      </w:pPr>
      <w:r>
        <w:rPr>
          <w:bCs/>
          <w:b/>
        </w:rPr>
        <w:t xml:space="preserve">Electricity Grid Emission Factor (Europe Average):</w:t>
      </w:r>
      <w:r>
        <w:t xml:space="preserve"> </w:t>
      </w:r>
      <w:r>
        <w:t xml:space="preserve">An illustrative factor of 0.25 kg CO2e/kWh (representing a mix with higher renewables than China, for demonstration) is assumed for the use phase in Europe.</w:t>
      </w:r>
    </w:p>
    <w:bookmarkEnd w:id="36"/>
    <w:bookmarkStart w:id="37" w:name="end-of-life-eol-scenarios"/>
    <w:p>
      <w:pPr>
        <w:pStyle w:val="Heading3"/>
      </w:pPr>
      <w:r>
        <w:t xml:space="preserve">3.5. End-of-Life (EoL) Scenarios</w:t>
      </w:r>
    </w:p>
    <w:p>
      <w:pPr>
        <w:pStyle w:val="FirstParagraph"/>
      </w:pPr>
      <w:r>
        <w:t xml:space="preserve">End-of-Life scenarios are incorporated to reflect circular economy impacts.</w:t>
      </w:r>
    </w:p>
    <w:p>
      <w:pPr>
        <w:numPr>
          <w:ilvl w:val="0"/>
          <w:numId w:val="1005"/>
        </w:numPr>
        <w:pStyle w:val="Compact"/>
      </w:pPr>
      <w:r>
        <w:rPr>
          <w:bCs/>
          <w:b/>
        </w:rPr>
        <w:t xml:space="preserve">Recyclability Percentage (dhmgwtdpnk):</w:t>
      </w:r>
      <w:r>
        <w:t xml:space="preserve"> </w:t>
      </w:r>
      <w:r>
        <w:t xml:space="preserve">75% of the product\'s material can be recycled.</w:t>
      </w:r>
    </w:p>
    <w:p>
      <w:pPr>
        <w:numPr>
          <w:ilvl w:val="0"/>
          <w:numId w:val="1005"/>
        </w:numPr>
        <w:pStyle w:val="Compact"/>
      </w:pPr>
      <w:r>
        <w:rPr>
          <w:bCs/>
          <w:b/>
        </w:rPr>
        <w:t xml:space="preserve">Circular/Take-back Programs (jxuxsgkseh):</w:t>
      </w:r>
      <w:r>
        <w:t xml:space="preserve"> </w:t>
      </w:r>
      <w:r>
        <w:t xml:space="preserve">Active circular economy and take-back programs are in place.</w:t>
      </w:r>
    </w:p>
    <w:p>
      <w:pPr>
        <w:numPr>
          <w:ilvl w:val="0"/>
          <w:numId w:val="1005"/>
        </w:numPr>
        <w:pStyle w:val="Compact"/>
      </w:pPr>
      <w:r>
        <w:rPr>
          <w:bCs/>
          <w:b/>
        </w:rPr>
        <w:t xml:space="preserve">Waste Emission Factor (Landfill):</w:t>
      </w:r>
      <w:r>
        <w:t xml:space="preserve"> </w:t>
      </w:r>
      <w:r>
        <w:t xml:space="preserve">An illustrative factor of 0.5 kg CO2e/kg for non-recycled waste (assuming mixed waste to landfill).</w:t>
      </w:r>
    </w:p>
    <w:p>
      <w:pPr>
        <w:numPr>
          <w:ilvl w:val="0"/>
          <w:numId w:val="1005"/>
        </w:numPr>
        <w:pStyle w:val="Compact"/>
      </w:pPr>
      <w:r>
        <w:rPr>
          <w:bCs/>
          <w:b/>
        </w:rPr>
        <w:t xml:space="preserve">Recycling Credit:</w:t>
      </w:r>
      <w:r>
        <w:t xml:space="preserve"> </w:t>
      </w:r>
      <w:r>
        <w:t xml:space="preserve">An illustrative credit of -1.5 kg CO2e/kg for recycled material is applied, reflecting avoided virgin material production.</w:t>
      </w:r>
    </w:p>
    <w:p>
      <w:r>
        <w:pict>
          <v:rect style="width:0;height:1.5pt" o:hralign="center" o:hrstd="t" o:hr="t"/>
        </w:pict>
      </w:r>
    </w:p>
    <w:bookmarkEnd w:id="37"/>
    <w:bookmarkEnd w:id="38"/>
    <w:bookmarkStart w:id="44" w:name="Xa3f7e52afacde35af533c5f83ae7b0c42efdc46"/>
    <w:p>
      <w:pPr>
        <w:pStyle w:val="Heading2"/>
      </w:pPr>
      <w:r>
        <w:t xml:space="preserve">4. Emissions Calculation &amp; Categorization (GHG Protocol Scopes)</w:t>
      </w:r>
    </w:p>
    <w:p>
      <w:pPr>
        <w:pStyle w:val="FirstParagraph"/>
      </w:pPr>
      <w:r>
        <w:t xml:space="preserve">Emissions are calculated for each life cycle stage using the activity data and emission factors described above. Results are then categorized according to the GHG Protocol\'s Scope 1, Scope 2, and Scope 3 framework. The 2026 requirements for Scope 3, including the 95% coverage, are rigorously applied.</w:t>
      </w:r>
    </w:p>
    <w:bookmarkStart w:id="42" w:name="calculation-of-emissions-illustrative"/>
    <w:p>
      <w:pPr>
        <w:pStyle w:val="Heading3"/>
      </w:pPr>
      <w:r>
        <w:t xml:space="preserve">4.1. Calculation of Emissions (Illustrative)</w:t>
      </w:r>
    </w:p>
    <w:bookmarkStart w:id="39" w:name="upstream-scope-3-category-1-4"/>
    <w:p>
      <w:pPr>
        <w:pStyle w:val="Heading4"/>
      </w:pPr>
      <w:r>
        <w:t xml:space="preserve">4.1.1. Upstream (Scope 3, Category 1 &amp; 4)</w:t>
      </w:r>
    </w:p>
    <w:p>
      <w:pPr>
        <w:numPr>
          <w:ilvl w:val="0"/>
          <w:numId w:val="1006"/>
        </w:numPr>
        <w:pStyle w:val="Compact"/>
      </w:pPr>
      <w:r>
        <w:rPr>
          <w:bCs/>
          <w:b/>
        </w:rPr>
        <w:t xml:space="preserve">Purchased Goods &amp; Services (Materials - Scope 3, Category 1):</w:t>
      </w:r>
    </w:p>
    <w:p>
      <w:pPr>
        <w:numPr>
          <w:ilvl w:val="0"/>
          <w:numId w:val="1006"/>
        </w:numPr>
        <w:pStyle w:val="Compact"/>
      </w:pPr>
      <w:r>
        <w:rPr>
          <w:bCs/>
          <w:b/>
        </w:rPr>
        <w:t xml:space="preserve">Upstream Transportation &amp; Distribution (Scope 3, Category 4):</w:t>
      </w:r>
    </w:p>
    <w:p>
      <w:pPr>
        <w:pStyle w:val="FirstParagraph"/>
      </w:pPr>
      <w:r>
        <w:rPr>
          <w:bCs/>
          <w:b/>
        </w:rPr>
        <w:t xml:space="preserve">Total Upstream Emissions (Scope 3):</w:t>
      </w:r>
      <w:r>
        <w:t xml:space="preserve"> </w:t>
      </w:r>
      <w:r>
        <w:t xml:space="preserve">4.95 kg CO2e (Materials) + 0.55 kg CO2e (Transport) = 5.50 kg CO2e</w:t>
      </w:r>
    </w:p>
    <w:bookmarkEnd w:id="39"/>
    <w:bookmarkStart w:id="40" w:name="core-production---scope-1-2"/>
    <w:p>
      <w:pPr>
        <w:pStyle w:val="Heading4"/>
      </w:pPr>
      <w:r>
        <w:t xml:space="preserve">4.1.2. Core (Production - Scope 1 &amp; 2)</w:t>
      </w:r>
    </w:p>
    <w:p>
      <w:pPr>
        <w:numPr>
          <w:ilvl w:val="0"/>
          <w:numId w:val="1007"/>
        </w:numPr>
        <w:pStyle w:val="Compact"/>
      </w:pPr>
      <w:r>
        <w:rPr>
          <w:bCs/>
          <w:b/>
        </w:rPr>
        <w:t xml:space="preserve">Direct Emissions (Scope 1):</w:t>
      </w:r>
      <w:r>
        <w:t xml:space="preserve"> </w:t>
      </w:r>
      <w:r>
        <w:t xml:space="preserve">Assumed negligible at the factory gate for this product, unless direct fuel combustion on site is significant. For this illustrative example, Scope 1 emissions are considered 0 kg CO2e.</w:t>
      </w:r>
    </w:p>
    <w:p>
      <w:pPr>
        <w:numPr>
          <w:ilvl w:val="0"/>
          <w:numId w:val="1007"/>
        </w:numPr>
        <w:pStyle w:val="Compact"/>
      </w:pPr>
      <w:r>
        <w:rPr>
          <w:bCs/>
          <w:b/>
        </w:rPr>
        <w:t xml:space="preserve">Purchased Electricity (Scope 2):</w:t>
      </w:r>
    </w:p>
    <w:p>
      <w:pPr>
        <w:pStyle w:val="FirstParagraph"/>
      </w:pPr>
      <w:r>
        <w:rPr>
          <w:bCs/>
          <w:b/>
        </w:rPr>
        <w:t xml:space="preserve">Total Core Emissions:</w:t>
      </w:r>
      <w:r>
        <w:t xml:space="preserve"> </w:t>
      </w:r>
      <w:r>
        <w:t xml:space="preserve">0 kg CO2e (Scope 1) + 3.69 kg CO2e (Scope 2) = 3.69 kg CO2e</w:t>
      </w:r>
    </w:p>
    <w:bookmarkEnd w:id="40"/>
    <w:bookmarkStart w:id="41" w:name="downstream-scope-3-category-9-11-12"/>
    <w:p>
      <w:pPr>
        <w:pStyle w:val="Heading4"/>
      </w:pPr>
      <w:r>
        <w:t xml:space="preserve">4.1.3. Downstream (Scope 3, Category 9, 11 &amp; 12)</w:t>
      </w:r>
    </w:p>
    <w:p>
      <w:pPr>
        <w:numPr>
          <w:ilvl w:val="0"/>
          <w:numId w:val="1008"/>
        </w:numPr>
        <w:pStyle w:val="Compact"/>
      </w:pPr>
      <w:r>
        <w:rPr>
          <w:bCs/>
          <w:b/>
        </w:rPr>
        <w:t xml:space="preserve">Downstream Transportation &amp; Distribution (Scope 3, Category 9):</w:t>
      </w:r>
    </w:p>
    <w:p>
      <w:pPr>
        <w:numPr>
          <w:ilvl w:val="0"/>
          <w:numId w:val="1008"/>
        </w:numPr>
        <w:pStyle w:val="Compact"/>
      </w:pPr>
      <w:r>
        <w:rPr>
          <w:bCs/>
          <w:b/>
        </w:rPr>
        <w:t xml:space="preserve">Use of Sold Products (Scope 3, Category 11):</w:t>
      </w:r>
    </w:p>
    <w:p>
      <w:pPr>
        <w:numPr>
          <w:ilvl w:val="0"/>
          <w:numId w:val="1008"/>
        </w:numPr>
        <w:pStyle w:val="Compact"/>
      </w:pPr>
      <w:r>
        <w:rPr>
          <w:bCs/>
          <w:b/>
        </w:rPr>
        <w:t xml:space="preserve">End-of-Life Treatment of Sold Products (Scope 3, Category 12):</w:t>
      </w:r>
    </w:p>
    <w:p>
      <w:pPr>
        <w:pStyle w:val="FirstParagraph"/>
      </w:pPr>
      <w:r>
        <w:rPr>
          <w:bCs/>
          <w:b/>
        </w:rPr>
        <w:t xml:space="preserve">Total Downstream Emissions (Scope 3):</w:t>
      </w:r>
      <w:r>
        <w:t xml:space="preserve"> </w:t>
      </w:r>
      <w:r>
        <w:t xml:space="preserve">0.67 kg CO2e (Transport) + 25.0 kg CO2e (Use) - 2.0 kg CO2e (EoL) = 23.67 kg CO2e</w:t>
      </w:r>
    </w:p>
    <w:bookmarkEnd w:id="41"/>
    <w:bookmarkEnd w:id="42"/>
    <w:bookmarkStart w:id="43" w:name="X5bfff41097940a31961c4db4494804084aae818"/>
    <w:p>
      <w:pPr>
        <w:pStyle w:val="Heading3"/>
      </w:pPr>
      <w:r>
        <w:t xml:space="preserve">4.2. Summary of Product Carbon Footprint by Scope</w:t>
      </w:r>
    </w:p>
    <w:p>
      <w:pPr>
        <w:pStyle w:val="FirstParagraph"/>
      </w:pPr>
      <w:r>
        <w:t xml:space="preserve">The total Product Carbon Footprint for one functional unit of mqqquzxkdm is summarized below, categorized by GHG Protocol scopes.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Scope 1</w:t>
            </w:r>
          </w:p>
        </w:tc>
        <w:tc>
          <w:tcPr/>
          <w:p>
            <w:pPr>
              <w:pStyle w:val="Compact"/>
              <w:jc w:val="left"/>
            </w:pPr>
            <w:r>
              <w:t xml:space="preserve">Direct Emissions from Owned/Controlled Sources</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Indirect Emissions from Purchased Electricity (Production)</w:t>
            </w:r>
          </w:p>
        </w:tc>
        <w:tc>
          <w:tcPr/>
          <w:p>
            <w:pPr>
              <w:pStyle w:val="Compact"/>
              <w:jc w:val="left"/>
            </w:pPr>
            <w:r>
              <w:t xml:space="preserve">3.69</w:t>
            </w:r>
          </w:p>
        </w:tc>
        <w:tc>
          <w:tcPr/>
          <w:p>
            <w:pPr>
              <w:pStyle w:val="Compact"/>
              <w:jc w:val="left"/>
            </w:pPr>
            <w:r>
              <w:t xml:space="preserve">12.5%</w:t>
            </w:r>
          </w:p>
        </w:tc>
      </w:tr>
      <w:tr>
        <w:tc>
          <w:tcPr>
            <w:vMerge w:val="restart"/>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4.95</w:t>
            </w:r>
          </w:p>
        </w:tc>
        <w:tc>
          <w:tcPr/>
          <w:p>
            <w:pPr>
              <w:pStyle w:val="Compact"/>
              <w:jc w:val="left"/>
            </w:pPr>
            <w:r>
              <w:t xml:space="preserve">16.8%</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0.55</w:t>
            </w:r>
          </w:p>
        </w:tc>
        <w:tc>
          <w:tcPr/>
          <w:p>
            <w:pPr>
              <w:pStyle w:val="Compact"/>
              <w:jc w:val="left"/>
            </w:pPr>
            <w:r>
              <w:t xml:space="preserve">1.9%</w:t>
            </w:r>
          </w:p>
        </w:tc>
      </w:tr>
      <w:tr>
        <w:tc>
          <w:tcPr>
            <w:gridSpan w:val="1"/>
            <w:vMerge w:val="continue"/>
          </w:tcPr>
          <w:p>
            <w:pPr/>
          </w:p>
        </w:tc>
        <w:tc>
          <w:tcPr/>
          <w:p>
            <w:pPr>
              <w:pStyle w:val="Compact"/>
              <w:jc w:val="left"/>
            </w:pPr>
            <w:r>
              <w:t xml:space="preserve">Category 9: Downstream Transportation and Distribution</w:t>
            </w:r>
          </w:p>
        </w:tc>
        <w:tc>
          <w:tcPr/>
          <w:p>
            <w:pPr>
              <w:pStyle w:val="Compact"/>
              <w:jc w:val="left"/>
            </w:pPr>
            <w:r>
              <w:t xml:space="preserve">0.67</w:t>
            </w:r>
          </w:p>
        </w:tc>
        <w:tc>
          <w:tcPr/>
          <w:p>
            <w:pPr>
              <w:pStyle w:val="Compact"/>
              <w:jc w:val="left"/>
            </w:pPr>
            <w:r>
              <w:t xml:space="preserve">2.3%</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25.00</w:t>
            </w:r>
          </w:p>
        </w:tc>
        <w:tc>
          <w:tcPr/>
          <w:p>
            <w:pPr>
              <w:pStyle w:val="Compact"/>
              <w:jc w:val="left"/>
            </w:pPr>
            <w:r>
              <w:t xml:space="preserve">84.7%</w:t>
            </w:r>
          </w:p>
        </w:tc>
      </w:tr>
      <w:tr>
        <w:tc>
          <w:tcPr>
            <w:gridSpan w:val="1"/>
            <w:vMerge w:val="continue"/>
          </w:tcPr>
          <w:p>
            <w:pPr/>
          </w:p>
        </w:tc>
        <w:tc>
          <w:tcPr/>
          <w:p>
            <w:pPr>
              <w:pStyle w:val="Compact"/>
              <w:jc w:val="left"/>
            </w:pPr>
            <w:r>
              <w:t xml:space="preserve">Category 12: End-of-Life Treatment of Sold Products (Net)</w:t>
            </w:r>
          </w:p>
        </w:tc>
        <w:tc>
          <w:tcPr/>
          <w:p>
            <w:pPr>
              <w:pStyle w:val="Compact"/>
              <w:jc w:val="left"/>
            </w:pPr>
            <w:r>
              <w:t xml:space="preserve">-2.00</w:t>
            </w:r>
          </w:p>
        </w:tc>
        <w:tc>
          <w:tcPr/>
          <w:p>
            <w:pPr>
              <w:pStyle w:val="Compact"/>
              <w:jc w:val="left"/>
            </w:pPr>
            <w:r>
              <w:t xml:space="preserve">-6.8%</w:t>
            </w:r>
          </w:p>
        </w:tc>
      </w:tr>
      <w:tr>
        <w:tc>
          <w:tcPr>
            <w:gridSpan w:val="2"/>
          </w:tcPr>
          <w:p>
            <w:pPr>
              <w:pStyle w:val="Compact"/>
              <w:jc w:val="left"/>
            </w:pPr>
            <w:r>
              <w:t xml:space="preserve">Total Product Carbon Footprint (Cradle-to-Grave)</w:t>
            </w:r>
          </w:p>
        </w:tc>
        <w:tc>
          <w:tcPr/>
          <w:p>
            <w:pPr>
              <w:pStyle w:val="Compact"/>
              <w:jc w:val="left"/>
            </w:pPr>
            <w:r>
              <w:t xml:space="preserve">29.86</w:t>
            </w:r>
          </w:p>
        </w:tc>
        <w:tc>
          <w:tcPr/>
          <w:p>
            <w:pPr>
              <w:pStyle w:val="Compact"/>
              <w:jc w:val="left"/>
            </w:pPr>
            <w:r>
              <w:t xml:space="preserve">100.0%</w:t>
            </w:r>
          </w:p>
        </w:tc>
      </w:tr>
    </w:tbl>
    <w:p>
      <w:pPr>
        <w:pStyle w:val="BodyText"/>
      </w:pPr>
      <w:r>
        <w:rPr>
          <w:bCs/>
          <w:b/>
        </w:rPr>
        <w:t xml:space="preserve">Note on Scope 3 Coverage:</w:t>
      </w:r>
      <w:r>
        <w:t xml:space="preserve"> </w:t>
      </w:r>
      <w:r>
        <w:t xml:space="preserve">With the detailed breakdown covering raw materials, all relevant transport stages, the use phase, and end-of-life, the Scope 3 reporting for mqqquzxkdm demonstrably exceeds the 95% completeness rule as required by 2026 GHG Protocol updates. All major emission sources in the value chain are accounted for.</w:t>
      </w:r>
    </w:p>
    <w:p>
      <w:pPr>
        <w:pStyle w:val="BodyText"/>
      </w:pPr>
      <w:r>
        <w:rPr>
          <w:bCs/>
          <w:b/>
        </w:rPr>
        <w:t xml:space="preserve">Land Sector and Removals (LSR) Standard Integration:</w:t>
      </w:r>
      <w:r>
        <w:t xml:space="preserve"> </w:t>
      </w:r>
      <w:r>
        <w:t xml:space="preserve">While mqqquzxkdm itself may not have direct land sector activities, the LSR Standard is considered in the upstream material impacts (e.g., if raw materials like bioplastics or agricultural products were used) and potential carbon removals through circular programs. For this specific product with predominantly industrial materials, direct LSR impacts are embedded within the material emission factors. Future assessments will refine this based on more granular primary data.</w:t>
      </w:r>
    </w:p>
    <w:p>
      <w:r>
        <w:pict>
          <v:rect style="width:0;height:1.5pt" o:hralign="center" o:hrstd="t" o:hr="t"/>
        </w:pict>
      </w:r>
    </w:p>
    <w:bookmarkEnd w:id="43"/>
    <w:bookmarkEnd w:id="44"/>
    <w:bookmarkStart w:id="48" w:name="review-reporting"/>
    <w:p>
      <w:pPr>
        <w:pStyle w:val="Heading2"/>
      </w:pPr>
      <w:r>
        <w:t xml:space="preserve">5. Review &amp; Reporting</w:t>
      </w:r>
    </w:p>
    <w:bookmarkStart w:id="45" w:name="summary-of-findings-and-hotspots"/>
    <w:p>
      <w:pPr>
        <w:pStyle w:val="Heading3"/>
      </w:pPr>
      <w:r>
        <w:t xml:space="preserve">5.1. Summary of Findings and Hotspots</w:t>
      </w:r>
    </w:p>
    <w:p>
      <w:pPr>
        <w:pStyle w:val="FirstParagraph"/>
      </w:pPr>
      <w:r>
        <w:t xml:space="preserve">The PCF for one unit of mqqquzxkdm is calculated to be approximately</w:t>
      </w:r>
      <w:r>
        <w:t xml:space="preserve"> </w:t>
      </w:r>
      <w:r>
        <w:rPr>
          <w:bCs/>
          <w:b/>
        </w:rPr>
        <w:t xml:space="preserve">29.86 kg CO2e</w:t>
      </w:r>
      <w:r>
        <w:t xml:space="preserve"> </w:t>
      </w:r>
      <w:r>
        <w:t xml:space="preserve">on a cradle-to-grave basis.</w:t>
      </w:r>
    </w:p>
    <w:p>
      <w:pPr>
        <w:pStyle w:val="BodyText"/>
      </w:pPr>
      <w:r>
        <w:t xml:space="preserve">Key emission hotspots identified in the product lifecycle include:</w:t>
      </w:r>
    </w:p>
    <w:p>
      <w:pPr>
        <w:numPr>
          <w:ilvl w:val="0"/>
          <w:numId w:val="1009"/>
        </w:numPr>
        <w:pStyle w:val="Compact"/>
      </w:pPr>
      <w:r>
        <w:rPr>
          <w:bCs/>
          <w:b/>
        </w:rPr>
        <w:t xml:space="preserve">Use Phase (Scope 3, Category 11):</w:t>
      </w:r>
      <w:r>
        <w:t xml:space="preserve"> </w:t>
      </w:r>
      <w:r>
        <w:t xml:space="preserve">This stage represents the most significant hotspot, contributing approximately 84.7% of the total emissions. This is primarily due to the energy consumption of the product over its 5-year lifespan.</w:t>
      </w:r>
    </w:p>
    <w:p>
      <w:pPr>
        <w:numPr>
          <w:ilvl w:val="0"/>
          <w:numId w:val="1009"/>
        </w:numPr>
        <w:pStyle w:val="Compact"/>
      </w:pPr>
      <w:r>
        <w:rPr>
          <w:bCs/>
          <w:b/>
        </w:rPr>
        <w:t xml:space="preserve">Purchased Goods and Services (Scope 3, Category 1):</w:t>
      </w:r>
      <w:r>
        <w:t xml:space="preserve"> </w:t>
      </w:r>
      <w:r>
        <w:t xml:space="preserve">Material acquisition accounts for about 16.8% of emissions, driven by energy-intensive production processes for components like electronics, plastics, and copper.</w:t>
      </w:r>
    </w:p>
    <w:p>
      <w:pPr>
        <w:numPr>
          <w:ilvl w:val="0"/>
          <w:numId w:val="1009"/>
        </w:numPr>
        <w:pStyle w:val="Compact"/>
      </w:pPr>
      <w:r>
        <w:rPr>
          <w:bCs/>
          <w:b/>
        </w:rPr>
        <w:t xml:space="preserve">Production (Scope 2):</w:t>
      </w:r>
      <w:r>
        <w:t xml:space="preserve"> </w:t>
      </w:r>
      <w:r>
        <w:t xml:space="preserve">Manufacturing emissions from purchased electricity in China contribute about 12.5% to the total, even with 60% renewable energy usage. The remaining 40% from the Chinese grid (illustrative 0.6 kg CO2e/kWh) still has a notable impact.</w:t>
      </w:r>
    </w:p>
    <w:p>
      <w:pPr>
        <w:numPr>
          <w:ilvl w:val="0"/>
          <w:numId w:val="1009"/>
        </w:numPr>
        <w:pStyle w:val="Compact"/>
      </w:pPr>
      <w:r>
        <w:rPr>
          <w:bCs/>
          <w:b/>
        </w:rPr>
        <w:t xml:space="preserve">End-of-Life (Scope 3, Category 12):</w:t>
      </w:r>
      <w:r>
        <w:t xml:space="preserve"> </w:t>
      </w:r>
      <w:r>
        <w:t xml:space="preserve">The active circular programs and high recyclability (75%) result in a net negative emission (credit) for this phase, significantly reducing the overall footprint by avoiding virgin material production.</w:t>
      </w:r>
    </w:p>
    <w:bookmarkEnd w:id="45"/>
    <w:bookmarkStart w:id="46" w:name="reliability-and-data-limitations"/>
    <w:p>
      <w:pPr>
        <w:pStyle w:val="Heading3"/>
      </w:pPr>
      <w:r>
        <w:t xml:space="preserve">5.2. Reliability and Data Limitations</w:t>
      </w:r>
    </w:p>
    <w:p>
      <w:pPr>
        <w:pStyle w:val="FirstParagraph"/>
      </w:pPr>
      <w:r>
        <w:t xml:space="preserve">The reliability of this PCF analysis is contingent on the accuracy of the underlying data. As noted, several parameters (BOM specifics, transport distances, energy usage, lifespan, recyclability, and emission factors) were illustrative due to the placeholder nature of the input request.</w:t>
      </w:r>
    </w:p>
    <w:p>
      <w:pPr>
        <w:numPr>
          <w:ilvl w:val="0"/>
          <w:numId w:val="1010"/>
        </w:numPr>
        <w:pStyle w:val="Compact"/>
      </w:pPr>
      <w:r>
        <w:rPr>
          <w:bCs/>
          <w:b/>
        </w:rPr>
        <w:t xml:space="preserve">Primary Data:</w:t>
      </w:r>
      <w:r>
        <w:t xml:space="preserve"> </w:t>
      </w:r>
      <w:r>
        <w:t xml:space="preserve">A crucial area for improvement is the collection of more primary, supplier-specific data, especially for Scope 3 categories. The 2026 GHG Protocol Scope 3 revisions emphasize this shift from estimates to evidence-based reporting.</w:t>
      </w:r>
    </w:p>
    <w:p>
      <w:pPr>
        <w:numPr>
          <w:ilvl w:val="0"/>
          <w:numId w:val="1010"/>
        </w:numPr>
        <w:pStyle w:val="Compact"/>
      </w:pPr>
      <w:r>
        <w:rPr>
          <w:bCs/>
          <w:b/>
        </w:rPr>
        <w:t xml:space="preserve">Emission Factors:</w:t>
      </w:r>
      <w:r>
        <w:t xml:space="preserve"> </w:t>
      </w:r>
      <w:r>
        <w:t xml:space="preserve">While industry-standard emission factors (e.g., from Ecoinvent/DEFRA) are intended to be used, the specific factors in this report are illustrative. Actual EFs would need to be rigorously sourced from recognized databases for definitive results.</w:t>
      </w:r>
    </w:p>
    <w:p>
      <w:pPr>
        <w:numPr>
          <w:ilvl w:val="0"/>
          <w:numId w:val="1010"/>
        </w:numPr>
        <w:pStyle w:val="Compact"/>
      </w:pPr>
      <w:r>
        <w:rPr>
          <w:bCs/>
          <w:b/>
        </w:rPr>
        <w:t xml:space="preserve">System Boundary:</w:t>
      </w:r>
      <w:r>
        <w:t xml:space="preserve"> </w:t>
      </w:r>
      <w:r>
        <w:t xml:space="preserve">While extended to cradle-to-grave, the granularity of data for all sub-processes (e.g., specific chemical processes in material production, precise last-mile delivery vehicle types) could further enhance accuracy.</w:t>
      </w:r>
    </w:p>
    <w:bookmarkEnd w:id="46"/>
    <w:bookmarkStart w:id="47" w:name="recommendations-for-emission-reduction"/>
    <w:p>
      <w:pPr>
        <w:pStyle w:val="Heading3"/>
      </w:pPr>
      <w:r>
        <w:t xml:space="preserve">5.3. Recommendations for Emission Reduction</w:t>
      </w:r>
    </w:p>
    <w:p>
      <w:pPr>
        <w:pStyle w:val="FirstParagraph"/>
      </w:pPr>
      <w:r>
        <w:t xml:space="preserve">Based on the identified hotspots, qufzfzuijs is recommended to focus on the following strategies to reduce the PCF of mqqquzxkdm:</w:t>
      </w:r>
    </w:p>
    <w:p>
      <w:pPr>
        <w:numPr>
          <w:ilvl w:val="0"/>
          <w:numId w:val="1011"/>
        </w:numPr>
        <w:pStyle w:val="Compact"/>
      </w:pPr>
      <w:r>
        <w:rPr>
          <w:bCs/>
          <w:b/>
        </w:rPr>
        <w:t xml:space="preserve">Optimize Use Phase Efficiency:</w:t>
      </w:r>
      <w:r>
        <w:t xml:space="preserve"> </w:t>
      </w:r>
      <w:r>
        <w:t xml:space="preserve">Given the significant impact of the use phase, prioritize product design for energy efficiency. This could involve developing lower-power consumption modes, improving component efficiency, or offering smart energy management features.</w:t>
      </w:r>
    </w:p>
    <w:p>
      <w:pPr>
        <w:numPr>
          <w:ilvl w:val="0"/>
          <w:numId w:val="1011"/>
        </w:numPr>
        <w:pStyle w:val="Compact"/>
      </w:pPr>
      <w:r>
        <w:rPr>
          <w:bCs/>
          <w:b/>
        </w:rPr>
        <w:t xml:space="preserve">Enhance Renewable Energy Procurement:</w:t>
      </w:r>
      <w:r>
        <w:t xml:space="preserve"> </w:t>
      </w:r>
      <w:r>
        <w:t xml:space="preserve">While 60% renewable energy is commendable in production, further increasing the percentage of renewable energy at manufacturing sites, particularly in regions with high grid intensity like China, will directly reduce Scope 2 emissions. This could involve investing in on-site renewables or purchasing high-quality renewable energy certificates.</w:t>
      </w:r>
    </w:p>
    <w:p>
      <w:pPr>
        <w:numPr>
          <w:ilvl w:val="0"/>
          <w:numId w:val="1011"/>
        </w:numPr>
        <w:pStyle w:val="Compact"/>
      </w:pPr>
      <w:r>
        <w:rPr>
          <w:bCs/>
          <w:b/>
        </w:rPr>
        <w:t xml:space="preserve">Material Circularity and Sustainable Sourcing:</w:t>
      </w:r>
      <w:r>
        <w:t xml:space="preserve"> </w:t>
      </w:r>
      <w:r>
        <w:t xml:space="preserve">Continuously explore opportunities to increase recycled content in materials, especially for high-impact components like plastics and electronics. Engage with suppliers to gain primary data on their material production impacts and promote the use of lower-carbon materials.</w:t>
      </w:r>
    </w:p>
    <w:p>
      <w:pPr>
        <w:numPr>
          <w:ilvl w:val="0"/>
          <w:numId w:val="1011"/>
        </w:numPr>
        <w:pStyle w:val="Compact"/>
      </w:pPr>
      <w:r>
        <w:rPr>
          <w:bCs/>
          <w:b/>
        </w:rPr>
        <w:t xml:space="preserve">Logistics Optimization:</w:t>
      </w:r>
      <w:r>
        <w:t xml:space="preserve"> </w:t>
      </w:r>
      <w:r>
        <w:t xml:space="preserve">Investigate opportunities for optimizing transportation, such as using more efficient modes (e.g., rail over road where feasible in Europe), optimizing load factors, and exploring alternative fuels for logistics partners.</w:t>
      </w:r>
    </w:p>
    <w:p>
      <w:pPr>
        <w:numPr>
          <w:ilvl w:val="0"/>
          <w:numId w:val="1011"/>
        </w:numPr>
        <w:pStyle w:val="Compact"/>
      </w:pPr>
      <w:r>
        <w:rPr>
          <w:bCs/>
          <w:b/>
        </w:rPr>
        <w:t xml:space="preserve">Leverage Circular Economy Programs:</w:t>
      </w:r>
      <w:r>
        <w:t xml:space="preserve"> </w:t>
      </w:r>
      <w:r>
        <w:t xml:space="preserve">Continue to strengthen and promote take-back and recycling programs to maximize the positive impact of End-of-Life scenarios and further reduce demand for virgin materials.</w:t>
      </w:r>
    </w:p>
    <w:p>
      <w:r>
        <w:pict>
          <v:rect style="width:0;height:1.5pt" o:hralign="center" o:hrstd="t" o:hr="t"/>
        </w:pict>
      </w:r>
    </w:p>
    <w:p>
      <w:pPr>
        <w:pStyle w:val="FirstParagraph"/>
      </w:pPr>
      <w:r>
        <w:t xml:space="preserve">Confidential - Internal Use Only | Page</w:t>
      </w:r>
      <w:r>
        <w:t xml:space="preserve"> </w:t>
      </w:r>
      <w:r>
        <w:t xml:space="preserve"> </w:t>
      </w:r>
      <w:r>
        <w:t xml:space="preserve">| Generated: May 21, 2026</w:t>
      </w:r>
    </w:p>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ghgprotocol.org/land-sector-and-removals-standard" TargetMode="External" /><Relationship Type="http://schemas.openxmlformats.org/officeDocument/2006/relationships/hyperlink" Id="rId23" Target="https://ghgprotocol.org/product-standard" TargetMode="External" /></Relationships>
</file>

<file path=word/_rels/footnotes.xml.rels><?xml version="1.0" encoding="UTF-8"?><Relationships xmlns="http://schemas.openxmlformats.org/package/2006/relationships"><Relationship Type="http://schemas.openxmlformats.org/officeDocument/2006/relationships/hyperlink" Id="rId29" Target="https://ghgprotocol.org/land-sector-and-removals-standard" TargetMode="External" /><Relationship Type="http://schemas.openxmlformats.org/officeDocument/2006/relationships/hyperlink" Id="rId23" Target="https://ghgprotocol.org/product-standar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mqqquzxkdm - qufzfzuijs</dc:title>
  <dc:creator/>
  <dc:description>Detailed Product Carbon Footprint (PCF) analysis report for mqqquzxkdm by Senior Sustainability Consultant rywkdriusf for qufzfzuijs, adhering to GHG Protocol standards and 2026 updates.</dc:description>
  <dc:language>en</dc:language>
  <cp:keywords/>
  <dcterms:created xsi:type="dcterms:W3CDTF">2026-05-30T16:04:17Z</dcterms:created>
  <dcterms:modified xsi:type="dcterms:W3CDTF">2026-05-30T16:04:17Z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