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mqorgihkpl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mqorgihkpl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nikgnvmdon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izfokoqzkw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The accuracy of the results is dependent on the completeness and quality of the input data provided.</w:t>
      </w:r>
    </w:p>
    <w:bookmarkEnd w:id="20"/>
    <w:bookmarkStart w:id="21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t xml:space="preserve">For: mqorgihkpl</w:t>
      </w:r>
    </w:p>
    <w:p>
      <w:pPr>
        <w:pStyle w:val="BodyText"/>
      </w:pPr>
      <w:r>
        <w:t xml:space="preserve">Generated Date: May 25,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mqorgihkpl, manufactured by nikgnvmdon.</w:t>
      </w:r>
      <w:r>
        <w:t xml:space="preserve"> </w:t>
      </w:r>
      <w:r>
        <w:t xml:space="preserve">Conducted by izfokoqzkw, Senior Sustainability Consultant, and adhering strictly to the GHG Protocol,</w:t>
      </w:r>
      <w:r>
        <w:t xml:space="preserve"> </w:t>
      </w:r>
      <w:r>
        <w:t xml:space="preserve">this analysis covers the entire lifecycle of the product from raw material acquisition to end-of-life.</w:t>
      </w:r>
      <w:r>
        <w:t xml:space="preserve"> </w:t>
      </w:r>
      <w:r>
        <w:t xml:space="preserve">The primary objective is to identify key emission hotspots, provide a comprehensive overview of the product\'s environmental impact in terms of greenhouse gas (GHG) emissions,</w:t>
      </w:r>
      <w:r>
        <w:t xml:space="preserve"> </w:t>
      </w:r>
      <w:r>
        <w:t xml:space="preserve">and support informed decision-making for sustainability improvements. The analysis incorporates specific company data</w:t>
      </w:r>
      <w:r>
        <w:t xml:space="preserve"> </w:t>
      </w:r>
      <w:r>
        <w:t xml:space="preserve">for bill of materials, transport, energy usage, and end-of-life scenarios, ensuring a tailored and accurate assessment</w:t>
      </w:r>
      <w:r>
        <w:t xml:space="preserve"> </w:t>
      </w:r>
      <w:r>
        <w:t xml:space="preserve">within the defined system boundaries.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is conducted in accordance with the GHG Protocol Product Standard. The methodology follows a five-step process</w:t>
      </w:r>
      <w:r>
        <w:t xml:space="preserve"> </w:t>
      </w:r>
      <w:r>
        <w:t xml:space="preserve">to ensure comprehensive and reliable results.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mqorgihkpl.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analysis employs a "factory_gate" system boundary as specified, but with the detailed parameters provided, a broader cradle-to-grave perspective including transport, use phase, and end-of-life is covered to provide a comprehensive view. Emissions are categorized into Scope 1 (direct), Scope 2 (purchased energy), and Scope 3 (value chain) as per GHG Protocol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Focused. This implies that manufacturing emission factors for China are relevant, while transportation and upstream supply chain impacts consider a European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co-production or recycling is involved, allocation methods will be applied consistently to ensure that the environmental burdens are appropriately assigned to the product mqorgihkpl. For end-of-life, the "recycled content" approach or "end-of-life" approach will be considered based on data availability and standard practices for circular economy impacts.</w:t>
      </w:r>
    </w:p>
    <w:bookmarkEnd w:id="23"/>
    <w:bookmarkStart w:id="24" w:name="X25ab271e0b973df754491ec5ddcb2d245f47eaf"/>
    <w:p>
      <w:pPr>
        <w:pStyle w:val="Heading3"/>
      </w:pPr>
      <w:r>
        <w:t xml:space="preserve">1.2. GHG Protocol Adherence and 2026 LSR Update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analysis strictly adheres to the GHG Protocol. All emissions are categorized into Scope 1 (direct emissions from owned or controlled sources), Scope 2 (indirect emissions from the generation of purchased electricity, steam, heating, and cooling), and Scope 3 (all other indirect emissions that occur in a company’s value chain).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is applied to account for land use change impacts and carbon removals where relevant to the product\'s lifecycle, particularly for bio-based materials or processes impacting land. Specific data related to land use for raw materials would be integrated into the emission factors for those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A primary goal is to achieve at least 95% coverage for Scope 3 reporting, in line with 2026 requirements, by comprehensively assessing upstream and downstream value chain emissions.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2" w:name="Xd9a70c659bfcd295e1cdb6c2eb7ab1139a4e8cf"/>
    <w:p>
      <w:pPr>
        <w:pStyle w:val="Heading2"/>
      </w:pPr>
      <w:r>
        <w:t xml:space="preserve">2. Lifecycle Mapping and Data Collection (LCI Inventory Stages)</w:t>
      </w:r>
    </w:p>
    <w:p>
      <w:pPr>
        <w:pStyle w:val="FirstParagraph"/>
      </w:pPr>
      <w:r>
        <w:t xml:space="preserve">This section details the various stages of the product\'s lifecycle and the data points collected for each.</w:t>
      </w:r>
      <w:r>
        <w:t xml:space="preserve"> </w:t>
      </w:r>
      <w:r>
        <w:t xml:space="preserve">The lifecycle stages include Material Acquisition, Manufacturing, Transportation &amp; Distribution, Use Phase, and End-of-Life.</w:t>
      </w:r>
    </w:p>
    <w:bookmarkStart w:id="27" w:name="X3020c5976c4ee7551eda80300ee9b0dcafe3c68"/>
    <w:p>
      <w:pPr>
        <w:pStyle w:val="Heading3"/>
      </w:pPr>
      <w:r>
        <w:t xml:space="preserve">2.1. Material Acquisition &amp; Bill of Materials (BOM)</w:t>
      </w:r>
    </w:p>
    <w:p>
      <w:pPr>
        <w:pStyle w:val="FirstParagraph"/>
      </w:pPr>
      <w:r>
        <w:t xml:space="preserve">The detailed Bill of Materials (BOM) for mqorgihkpl, provided as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, is crucial for calculating the upstream material impact.</w:t>
      </w:r>
      <w:r>
        <w:t xml:space="preserve"> </w:t>
      </w:r>
      <w:r>
        <w:t xml:space="preserve">In a real scenario, this string would be parsed into individual components, quantities, and their respective emission factors.</w:t>
      </w:r>
      <w:r>
        <w:t xml:space="preserve"> </w:t>
      </w:r>
      <w:r>
        <w:t xml:space="preserve">For illustrative purposes, a sample BOM structure is presented below, demonstrating how the provided format would be utilized.</w:t>
      </w:r>
      <w:r>
        <w:t xml:space="preserve"> </w:t>
      </w:r>
      <w:r>
        <w:t xml:space="preserve">Each item\'s \'Total Carbon\' value, if representing CO2e for that quantity, would be directly used. Otherwise, \'Qty * Emission Factor\' would be calculated.</w:t>
      </w:r>
    </w:p>
    <w:p>
      <w:pPr>
        <w:pStyle w:val="BodyText"/>
      </w:pPr>
      <w:r>
        <w:rPr>
          <w:bCs/>
          <w:b/>
        </w:rPr>
        <w:t xml:space="preserve">Provided Raw BOM Data String:</w:t>
      </w:r>
      <w:r>
        <w:t xml:space="preserve"> </w:t>
      </w:r>
      <w:r>
        <w:rPr>
          <w:rStyle w:val="VerbatimChar"/>
        </w:rPr>
        <w:t xml:space="preserve">jtnukuul</w:t>
      </w:r>
    </w:p>
    <w:bookmarkStart w:id="26" w:name="X34750db17232359c3b914868f950f61f71d8942"/>
    <w:p>
      <w:pPr>
        <w:pStyle w:val="Heading4"/>
      </w:pPr>
      <w:r>
        <w:t xml:space="preserve">Illustrative Detailed Bill of Materials (BOM) Data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 A (e.g., 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Extraction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 B (e.g., ABS Plastic)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 C (e.g., Silicon)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Material D (e.g.,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"Qty", "Emission Factor", and "Total Carbon" values in this table are illustrative placeholders. In a live analysis, these would be derived directly from parsing the provided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jtnukuul</w:t>
      </w:r>
      <w:r>
        <w:rPr>
          <w:iCs/>
          <w:i/>
        </w:rPr>
        <w:t xml:space="preserve"> </w:t>
      </w:r>
      <w:r>
        <w:rPr>
          <w:iCs/>
          <w:i/>
        </w:rPr>
        <w:t xml:space="preserve">string. The "Total Carbon" column represents the calculated CO2e for that specific quantity of material.</w:t>
      </w:r>
    </w:p>
    <w:bookmarkEnd w:id="26"/>
    <w:bookmarkEnd w:id="27"/>
    <w:bookmarkStart w:id="28" w:name="production-phase-data"/>
    <w:p>
      <w:pPr>
        <w:pStyle w:val="Heading3"/>
      </w:pPr>
      <w:r>
        <w:t xml:space="preserve">2.2. Production Phase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. This value represents the total electrical energy consumed per functional unit during the manufacturing process.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. This percentage indicates the proportion of electricity sourced from renewable origins, impacting the effective emission factor for purchased electricity (Scope 2). The remaining percentage is assumed to be grid mix.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Other Production Inputs:</w:t>
      </w:r>
      <w:r>
        <w:t xml:space="preserve"> </w:t>
      </w:r>
      <w:r>
        <w:t xml:space="preserve">Any other direct inputs like fuels for on-site machinery (Scope 1) or specific chemicals would be identified and quantified. For this report, primary focus is on electricity as per provided parameters.</w:t>
      </w:r>
    </w:p>
    <w:bookmarkEnd w:id="28"/>
    <w:bookmarkStart w:id="29" w:name="transportation-distribution-data"/>
    <w:p>
      <w:pPr>
        <w:pStyle w:val="Heading3"/>
      </w:pPr>
      <w:r>
        <w:t xml:space="preserve">2.3. Transportation &amp; Distribution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. This indicates the primary mode of transport from the production facility to the customer. Common modes include road freight, rail, sea freight, or air freight, each with distinct emission factors.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. This represents the average distance covered for product distribution.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. This specifies the method used for the final leg of delivery to the end-consumer, which can significantly influence last-mile emissions.</w:t>
      </w:r>
    </w:p>
    <w:bookmarkEnd w:id="29"/>
    <w:bookmarkStart w:id="30" w:name="use-phase-data"/>
    <w:p>
      <w:pPr>
        <w:pStyle w:val="Heading3"/>
      </w:pPr>
      <w:r>
        <w:t xml:space="preserve">2.4. 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. This parameter defines the expected functional life of the product, which is critical for calculating energy consumption over its lifetime.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. This value quantifies the energy consumed by the product during its operational use over its lifespan, expressed per unit per year or per total lifespan.</w:t>
      </w:r>
    </w:p>
    <w:bookmarkEnd w:id="30"/>
    <w:bookmarkStart w:id="31" w:name="end-of-life-eol-data"/>
    <w:p>
      <w:pPr>
        <w:pStyle w:val="Heading3"/>
      </w:pPr>
      <w:r>
        <w:t xml:space="preserve">2.5. End-of-Life (EoL)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. This indicates the proportion of the product that can be effectively recycled at the end of its life, reducing waste and potentially offsetting virgin material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. The presence and effectiveness of such programs influence the actual recycling rates and resource recovery, affecting the EoL impact.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X041cd8218bc3357d8fb28eb5e8690105c1bcdde"/>
    <w:p>
      <w:pPr>
        <w:pStyle w:val="Heading2"/>
      </w:pPr>
      <w:r>
        <w:t xml:space="preserve">3. Calculation of Emissions (Activity Data * Emission Factor = CO2e)</w:t>
      </w:r>
    </w:p>
    <w:p>
      <w:pPr>
        <w:pStyle w:val="FirstParagraph"/>
      </w:pPr>
      <w:r>
        <w:t xml:space="preserve">This section details the calculation of GHG emissions for each lifecycle stage. Industry-standard emission factors (e.g., from Ecoinvent, DEFRA, or national inventory reports for China and Europe) are applied.</w:t>
      </w:r>
      <w:r>
        <w:t xml:space="preserve"> </w:t>
      </w:r>
      <w:r>
        <w:t xml:space="preserve">For illustration, we will use hypothetical emission factors where specific numerical values are not provided in the parameters.</w:t>
      </w:r>
    </w:p>
    <w:bookmarkStart w:id="33" w:name="X2a8a89d524d2d2a26f77166a38c2ce0c77d18e8"/>
    <w:p>
      <w:pPr>
        <w:pStyle w:val="Heading3"/>
      </w:pPr>
      <w:r>
        <w:t xml:space="preserve">3.1. Material Acquisition Emissions (Scope 3 Upstream)</w:t>
      </w:r>
    </w:p>
    <w:p>
      <w:pPr>
        <w:pStyle w:val="FirstParagraph"/>
      </w:pPr>
      <w:r>
        <w:t xml:space="preserve">Emissions from material acquisition are calculated by multiplying the quantity of each material by its specific emission factor, or by using the provided \'Total Carbon\' value from the BOM.</w:t>
      </w:r>
      <w:r>
        <w:t xml:space="preserve"> </w:t>
      </w:r>
      <w:r>
        <w:t xml:space="preserve">Using the illustrative BOM: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(kg/unit or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CO2e/kg or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 (Steel)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Component B (ABS Plastic)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Electronic Chip C (Silicon)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Material D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Material Acquisition Emissions</w:t>
            </w: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8.54</w:t>
            </w:r>
          </w:p>
        </w:tc>
      </w:tr>
    </w:tbl>
    <w:p>
      <w:pPr>
        <w:pStyle w:val="BodyText"/>
      </w:pPr>
      <w:r>
        <w:rPr>
          <w:iCs/>
          <w:i/>
        </w:rPr>
        <w:t xml:space="preserve">Illustrative Total Material Acquisition Emissions: 8.54 kg CO2e/unit.</w:t>
      </w:r>
    </w:p>
    <w:bookmarkEnd w:id="33"/>
    <w:bookmarkStart w:id="34" w:name="X6876b466ab0203470acfe488b075f9c966075ae"/>
    <w:p>
      <w:pPr>
        <w:pStyle w:val="Heading3"/>
      </w:pPr>
      <w:r>
        <w:t xml:space="preserve">3.2. Production Phase Emissions (Scope 1 &amp; Scope 2)</w:t>
      </w:r>
    </w:p>
    <w:p>
      <w:pPr>
        <w:pStyle w:val="FirstParagraph"/>
      </w:pPr>
      <w:r>
        <w:t xml:space="preserve">Production emissions primarily consist of direct emissions (Scope 1) and indirect emissions from purchased electricity (Scope 2).</w:t>
      </w:r>
      <w:r>
        <w:t xml:space="preserve"> </w:t>
      </w:r>
      <w:r>
        <w:t xml:space="preserve">Given parameters focus on electricity.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%</w:t>
      </w:r>
    </w:p>
    <w:p>
      <w:pPr>
        <w:pStyle w:val="FirstParagraph"/>
      </w:pPr>
      <w:r>
        <w:t xml:space="preserve">Assuming an illustrative grid emission factor for China of 0.7 kg CO2e/kWh (e.g., from IEA or national statistics for China, for example),</w:t>
      </w:r>
      <w:r>
        <w:t xml:space="preserve"> </w:t>
      </w:r>
      <w:r>
        <w:t xml:space="preserve">and an illustrative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 </w:t>
      </w:r>
      <w:r>
        <w:t xml:space="preserve">of 30% renewable energy usage, with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of 10 kWh/unit:</w:t>
      </w:r>
    </w:p>
    <w:p>
      <w:pPr>
        <w:pStyle w:val="BodyText"/>
      </w:pPr>
      <w:r>
        <w:t xml:space="preserve">Non-renewable electricity =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* (1 -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/100) = 10 kWh/unit * (1 - 30/100) = 7 kWh/unit.</w:t>
      </w:r>
      <w:r>
        <w:t xml:space="preserve"> </w:t>
      </w:r>
      <w:r>
        <w:t xml:space="preserve">Scope 2 Emissions = 7 kWh/unit * 0.7 kg CO2e/kWh = 4.9 kg CO2e/unit.</w:t>
      </w:r>
    </w:p>
    <w:p>
      <w:pPr>
        <w:pStyle w:val="BodyText"/>
      </w:pPr>
      <w:r>
        <w:rPr>
          <w:iCs/>
          <w:i/>
        </w:rPr>
        <w:t xml:space="preserve">Illustrative Total Production Emissions (Scope 2): 4.9 kg CO2e/unit. (Scope 1 emissions from on-site fuels would be added here if data were available).</w:t>
      </w:r>
    </w:p>
    <w:bookmarkEnd w:id="34"/>
    <w:bookmarkStart w:id="35" w:name="X580ee7b2e1b17bb1dfebdcd24b750b2a9e6d037"/>
    <w:p>
      <w:pPr>
        <w:pStyle w:val="Heading3"/>
      </w:pPr>
      <w:r>
        <w:t xml:space="preserve">3.3. Transportation &amp; Distribution Emissions (Scope 3 Downstream)</w:t>
      </w:r>
    </w:p>
    <w:p>
      <w:pPr>
        <w:pStyle w:val="FirstParagraph"/>
      </w:pPr>
      <w:r>
        <w:t xml:space="preserve">Emissions from transportation are calculated based on the mode, distance, and freight weight.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km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</w:p>
    <w:p>
      <w:pPr>
        <w:pStyle w:val="FirstParagraph"/>
      </w:pPr>
      <w:r>
        <w:t xml:space="preserve">Assuming an illustrative product weight of 3 kg/unit (based on summing BOM materials) and hypothetical emission factors:</w:t>
      </w:r>
    </w:p>
    <w:p>
      <w:pPr>
        <w:pStyle w:val="BodyText"/>
      </w:pPr>
      <w:r>
        <w:t xml:space="preserve">Illustrative Emission Factor for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(e.g., Road Freight, heavy truck, European average) = 0.09 kg CO2e/tonne-km.</w:t>
      </w:r>
      <w:r>
        <w:t xml:space="preserve"> </w:t>
      </w:r>
      <w:r>
        <w:t xml:space="preserve">Illustrative Emission Factor for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(e.g., Light Commercial Vehicle, last mile) = 0.3 kg CO2e/tonne-km (adjusted for last mile context).</w:t>
      </w:r>
      <w:r>
        <w:t xml:space="preserve"> </w:t>
      </w:r>
      <w:r>
        <w:t xml:space="preserve">Illustrative Transport Distance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= 1500 km.</w:t>
      </w:r>
    </w:p>
    <w:p>
      <w:pPr>
        <w:pStyle w:val="BodyText"/>
      </w:pPr>
      <w:r>
        <w:t xml:space="preserve">Main Transport Emissions = (3 kg / 1000 kg/tonne) *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km * 0.09 kg CO2e/tonne-km</w:t>
      </w:r>
      <w:r>
        <w:t xml:space="preserve"> </w:t>
      </w:r>
      <w:r>
        <w:t xml:space="preserve">= 0.003 tonne * 1500 km * 0.09 kg CO2e/tonne-km = 0.405 kg CO2e/unit.</w:t>
      </w:r>
    </w:p>
    <w:p>
      <w:pPr>
        <w:pStyle w:val="BodyText"/>
      </w:pPr>
      <w:r>
        <w:t xml:space="preserve">Last-Mile Delivery Emissions (assuming a last-mile distance of 50 km and using the adjusted factor) = (3 kg / 1000 kg/tonne) * 50 km * 0.3 kg CO2e/tonne-km = 0.045 kg CO2e/unit.</w:t>
      </w:r>
    </w:p>
    <w:p>
      <w:pPr>
        <w:pStyle w:val="BodyText"/>
      </w:pPr>
      <w:r>
        <w:rPr>
          <w:iCs/>
          <w:i/>
        </w:rPr>
        <w:t xml:space="preserve">Illustrative Total Transportation Emissions (Scope 3): 0.405 + 0.045 = 0.45 kg CO2e/unit.</w:t>
      </w:r>
    </w:p>
    <w:bookmarkEnd w:id="35"/>
    <w:bookmarkStart w:id="36" w:name="use-phase-emissions-scope-3-downstream"/>
    <w:p>
      <w:pPr>
        <w:pStyle w:val="Heading3"/>
      </w:pPr>
      <w:r>
        <w:t xml:space="preserve">3.4. Use Phase Emissions (Scope 3 Downstream)</w:t>
      </w:r>
    </w:p>
    <w:p>
      <w:pPr>
        <w:pStyle w:val="FirstParagraph"/>
      </w:pPr>
      <w:r>
        <w:t xml:space="preserve">Use phase emissions are calculated based on the product\'s energy consumption over its lifespan.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years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kWh/year (or total over lifespan)</w:t>
      </w:r>
    </w:p>
    <w:p>
      <w:pPr>
        <w:pStyle w:val="FirstParagraph"/>
      </w:pPr>
      <w:r>
        <w:t xml:space="preserve">Assuming an illustrative product lifespan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of 5 years, and energy consumption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of 20 kWh/year,</w:t>
      </w:r>
      <w:r>
        <w:t xml:space="preserve"> </w:t>
      </w:r>
      <w:r>
        <w:t xml:space="preserve">and an illustrative average user country grid emission factor of 0.4 kg CO2e/kWh:</w:t>
      </w:r>
    </w:p>
    <w:p>
      <w:pPr>
        <w:pStyle w:val="BodyText"/>
      </w:pPr>
      <w:r>
        <w:t xml:space="preserve">Total Use Phase Energy =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years *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kWh/year = 5 years * 20 kWh/year = 100 kWh/unit.</w:t>
      </w:r>
      <w:r>
        <w:t xml:space="preserve"> </w:t>
      </w:r>
      <w:r>
        <w:t xml:space="preserve">Use Phase Emissions = 100 kWh/unit * 0.4 kg CO2e/kWh = 40 kg CO2e/unit.</w:t>
      </w:r>
    </w:p>
    <w:p>
      <w:pPr>
        <w:pStyle w:val="BodyText"/>
      </w:pPr>
      <w:r>
        <w:rPr>
          <w:iCs/>
          <w:i/>
        </w:rPr>
        <w:t xml:space="preserve">Illustrative Total Use Phase Emissions (Scope 3): 40 kg CO2e/unit.</w:t>
      </w:r>
    </w:p>
    <w:bookmarkEnd w:id="36"/>
    <w:bookmarkStart w:id="37" w:name="Xfad3afcf1b4feb82cb5e8801c9863d591d170e2"/>
    <w:p>
      <w:pPr>
        <w:pStyle w:val="Heading3"/>
      </w:pPr>
      <w:r>
        <w:t xml:space="preserve">3.5. End-of-Life (EoL) Emissions (Scope 3 Downstream)</w:t>
      </w:r>
    </w:p>
    <w:p>
      <w:pPr>
        <w:pStyle w:val="FirstParagraph"/>
      </w:pPr>
      <w:r>
        <w:t xml:space="preserve">EoL emissions consider disposal, recycling, and potential circular economy impacts.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%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qzzuyjxzrf</w:t>
      </w:r>
    </w:p>
    <w:p>
      <w:pPr>
        <w:pStyle w:val="FirstParagraph"/>
      </w:pPr>
      <w:r>
        <w:t xml:space="preserve">Assuming an illustrative recyclability of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 </w:t>
      </w:r>
      <w:r>
        <w:t xml:space="preserve">= 70% and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 </w:t>
      </w:r>
      <w:r>
        <w:t xml:space="preserve">indicating effective take-back programs,</w:t>
      </w:r>
      <w:r>
        <w:t xml:space="preserve"> </w:t>
      </w:r>
      <w:r>
        <w:t xml:space="preserve">and an illustrative impact factor for non-recycled waste (landfill/incineration) of 1.5 kg CO2e/kg.</w:t>
      </w:r>
      <w:r>
        <w:t xml:space="preserve"> </w:t>
      </w:r>
      <w:r>
        <w:t xml:space="preserve">And a potential credit for recycled material (avoided virgin production) of -1.0 kg CO2e/kg.</w:t>
      </w:r>
      <w:r>
        <w:t xml:space="preserve"> </w:t>
      </w:r>
      <w:r>
        <w:t xml:space="preserve">Illustrative product weight = 3 kg/unit.</w:t>
      </w:r>
    </w:p>
    <w:p>
      <w:pPr>
        <w:pStyle w:val="BodyText"/>
      </w:pPr>
      <w:r>
        <w:t xml:space="preserve">Waste to landfill/incineration = (1 -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/100) * 3 kg = (1 - 0.70) * 3 kg = 0.9 kg.</w:t>
      </w:r>
      <w:r>
        <w:t xml:space="preserve"> </w:t>
      </w:r>
      <w:r>
        <w:t xml:space="preserve">Emissions from waste = 0.9 kg * 1.5 kg CO2e/kg = 1.35 kg CO2e/unit.</w:t>
      </w:r>
    </w:p>
    <w:p>
      <w:pPr>
        <w:pStyle w:val="BodyText"/>
      </w:pPr>
      <w:r>
        <w:t xml:space="preserve">Recycling Credits = (</w:t>
      </w:r>
      <w:r>
        <w:rPr>
          <w:rStyle w:val="VerbatimChar"/>
        </w:rPr>
        <w:t xml:space="preserve">vrsmgindqe</w:t>
      </w:r>
      <w:r>
        <w:t xml:space="preserve">/100) * 3 kg * -1.0 kg CO2e/kg = 0.70 * 3 kg * -1.0 kg CO2e/kg = -2.1 kg CO2e/unit.</w:t>
      </w:r>
    </w:p>
    <w:p>
      <w:pPr>
        <w:pStyle w:val="BodyText"/>
      </w:pPr>
      <w:r>
        <w:rPr>
          <w:iCs/>
          <w:i/>
        </w:rPr>
        <w:t xml:space="preserve">Illustrative Total End-of-Life Emissions (Scope 3): 1.35 - 2.1 = -0.75 kg CO2e/unit (Net carbon removal/avoidance).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summary-of-product-carbon-footprint"/>
    <w:p>
      <w:pPr>
        <w:pStyle w:val="Heading2"/>
      </w:pPr>
      <w:r>
        <w:t xml:space="preserve">4. Summary of Product Carbon Footprint</w:t>
      </w:r>
    </w:p>
    <w:p>
      <w:pPr>
        <w:pStyle w:val="FirstParagraph"/>
      </w:pPr>
      <w:r>
        <w:t xml:space="preserve">This section aggregates the emissions from all lifecycle stages to provide the total Product Carbon Footprint for mqorgihkpl.</w:t>
      </w:r>
      <w:r>
        <w:t xml:space="preserve"> </w:t>
      </w:r>
      <w:r>
        <w:t xml:space="preserve">Please note that the values presented below are illustrative, based on the hypothetical figures used in the calculation section.</w:t>
      </w:r>
      <w:r>
        <w:t xml:space="preserve"> </w:t>
      </w:r>
      <w:r>
        <w:t xml:space="preserve">Actual values would be derived from the specific input data provided for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,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, etc.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(Illustrative)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53.14</w:t>
            </w:r>
          </w:p>
        </w:tc>
      </w:tr>
    </w:tbl>
    <w:bookmarkStart w:id="39" w:name="ghg-protocol-scope-breakdown"/>
    <w:p>
      <w:pPr>
        <w:pStyle w:val="Heading3"/>
      </w:pPr>
      <w:r>
        <w:t xml:space="preserve">4.1. GHG Protocol Scope Breakdown</w:t>
      </w:r>
    </w:p>
    <w:p>
      <w:pPr>
        <w:pStyle w:val="FirstParagraph"/>
      </w:pPr>
      <w:r>
        <w:t xml:space="preserve">A breakdown of emissions by GHG Protocol Scope for the illustrative scenario: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CO2e/unit (assuming no direct on-site fossil fuel combustion data provided in parameters).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4.90 kg CO2e/unit (from purchased electricity for production).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8.54 (Materials) + 0.45 (Transport) + 40.00 (Use Phase) - 0.75 (EoL) = 48.24 kg CO2e/unit.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Total Emissions:</w:t>
      </w:r>
      <w:r>
        <w:t xml:space="preserve"> </w:t>
      </w:r>
      <w:r>
        <w:t xml:space="preserve">0.00 (Scope 1) + 4.90 (Scope 2) + 48.24 (Scope 3) = 53.14 kg CO2e/unit.</w:t>
      </w:r>
    </w:p>
    <w:bookmarkEnd w:id="39"/>
    <w:bookmarkStart w:id="40" w:name="hotspot-identification"/>
    <w:p>
      <w:pPr>
        <w:pStyle w:val="Heading3"/>
      </w:pPr>
      <w:r>
        <w:t xml:space="preserve">4.2. Hotspot Identification</w:t>
      </w:r>
    </w:p>
    <w:p>
      <w:pPr>
        <w:pStyle w:val="FirstParagraph"/>
      </w:pPr>
      <w:r>
        <w:t xml:space="preserve">Based on the illustrative calculations, the primary emission hotspots for mqorgihkpl are: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Representing the largest portion (approx. 75%) due to continuous energy consumption over the product\'s lifespan.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Significant contribution (approx. 16%) due to energy-intensive material production processes.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Moderate contribution (approx. 9%) primarily from purchased electricity.</w:t>
      </w:r>
    </w:p>
    <w:p>
      <w:pPr>
        <w:pStyle w:val="FirstParagraph"/>
      </w:pPr>
      <w:r>
        <w:t xml:space="preserve">These hotspots highlight key areas for intervention to reduce the product\'s overall carbon footprint.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review-reporting"/>
    <w:p>
      <w:pPr>
        <w:pStyle w:val="Heading2"/>
      </w:pPr>
      <w:r>
        <w:t xml:space="preserve">5. Review &amp; Reporting</w:t>
      </w:r>
    </w:p>
    <w:p>
      <w:pPr>
        <w:pStyle w:val="FirstParagraph"/>
      </w:pPr>
      <w:r>
        <w:t xml:space="preserve">The reliability of this PCF analysis is directly dependent on the accuracy and completeness of the input data.</w:t>
      </w:r>
      <w:r>
        <w:t xml:space="preserve"> </w:t>
      </w:r>
      <w:r>
        <w:t xml:space="preserve">As Senior Sustainability Consultant, izfokoqzkw emphasizes the importance of primary data collection wherever possible.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 Reliability:</w:t>
      </w:r>
      <w:r>
        <w:t xml:space="preserve"> </w:t>
      </w:r>
      <w:r>
        <w:t xml:space="preserve">The current report uses placeholder values for specific input parameters. For a final, highly accurate report, precise numerical data for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 </w:t>
      </w:r>
      <w:r>
        <w:t xml:space="preserve">(BOM),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(transport distance),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 </w:t>
      </w:r>
      <w:r>
        <w:t xml:space="preserve">(renewable energy),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(energy intensity),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(lifespan),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(energy in use),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 </w:t>
      </w:r>
      <w:r>
        <w:t xml:space="preserve">(recyclability), and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 </w:t>
      </w:r>
      <w:r>
        <w:t xml:space="preserve">(circular programs) would be required.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Recommendations: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Reduce Use Phase Impact:</w:t>
      </w:r>
      <w:r>
        <w:t xml:space="preserve"> </w:t>
      </w:r>
      <w:r>
        <w:t xml:space="preserve">Explore energy-efficient design, offer renewable energy charging solutions, or extend product lifespan through modularity and repairability.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Optimize Material Sourcing:</w:t>
      </w:r>
      <w:r>
        <w:t xml:space="preserve"> </w:t>
      </w:r>
      <w:r>
        <w:t xml:space="preserve">Prioritize lower-carbon materials, increase recycled content, or select suppliers with strong sustainability performance.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Strengthen take-back programs and explore innovative recycling technologies to maximize material recovery and minimize waste.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suppliers to collect primary data on their production processes and reduce upstream emissions.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Future Outlook:</w:t>
      </w:r>
      <w:r>
        <w:t xml:space="preserve"> </w:t>
      </w:r>
      <w:r>
        <w:t xml:space="preserve">Continuous monitoring and periodic recalculations are recommended to track progress against sustainability targets and adapt to evolving product designs and supply chain practices.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mqorgihkpl</dc:title>
  <dc:creator/>
  <dc:description>Detailed Product Carbon Footprint (PCF) analysis for mqorgihkpl, adhering to GHG Protocol standards and 2026 LSR update, prepared for nikgnvmdon by izfokoqzkw.</dc:description>
  <cp:keywords/>
  <dcterms:created xsi:type="dcterms:W3CDTF">2026-05-30T11:30:46Z</dcterms:created>
  <dcterms:modified xsi:type="dcterms:W3CDTF">2026-05-30T11:30:46Z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