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mpmmlqjpnx</w:t>
      </w:r>
    </w:p>
    <w:p>
      <w:pPr>
        <w:pStyle w:val="FirstParagraph"/>
      </w:pPr>
      <w:r>
        <w:t xml:space="preserve">carboncalcpcf.com</w:t>
      </w:r>
    </w:p>
    <w:bookmarkStart w:id="21" w:name="product-carbon-footprint-report"/>
    <w:p>
      <w:pPr>
        <w:pStyle w:val="Heading1"/>
      </w:pPr>
      <w:r>
        <w:t xml:space="preserve">Product Carbon Footprint Report</w:t>
      </w:r>
    </w:p>
    <w:bookmarkStart w:id="20" w:name="product-mpmmlqjpnx"/>
    <w:p>
      <w:pPr>
        <w:pStyle w:val="Heading2"/>
      </w:pPr>
      <w:r>
        <w:t xml:space="preserve">Product: mpmmlqjpnx</w:t>
      </w:r>
    </w:p>
    <w:p>
      <w:pPr>
        <w:pStyle w:val="FirstParagraph"/>
      </w:pPr>
      <w:r>
        <w:rPr>
          <w:bCs/>
          <w:b/>
        </w:rPr>
        <w:t xml:space="preserve">Company:</w:t>
      </w:r>
      <w:r>
        <w:t xml:space="preserve"> </w:t>
      </w:r>
      <w:r>
        <w:t xml:space="preserve">howwdzffpt</w:t>
      </w:r>
    </w:p>
    <w:p>
      <w:pPr>
        <w:pStyle w:val="BodyText"/>
      </w:pPr>
      <w:r>
        <w:rPr>
          <w:bCs/>
          <w:b/>
        </w:rPr>
        <w:t xml:space="preserve">Senior Sustainability Consultant:</w:t>
      </w:r>
      <w:r>
        <w:t xml:space="preserve"> </w:t>
      </w:r>
      <w:r>
        <w:t xml:space="preserve">wgdhhgvwxs</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presented herein rely on the accuracy and completeness of the input parameters provided, utilizing illustrative data where specific values were given as placeholders. It aims to provide an estimated Product Carbon Footprint and identify key emission hotspots.</w:t>
      </w:r>
    </w:p>
    <w:bookmarkEnd w:id="20"/>
    <w:bookmarkEnd w:id="21"/>
    <w:p>
      <w:pPr>
        <w:pStyle w:val="BodyText"/>
      </w:pPr>
      <w:r>
        <w:t xml:space="preserve">Product Carbon Footprint Report - mpmmlqjpnx | Generated Date: May 20,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mpmmlqjpnx</w:t>
      </w:r>
      <w:r>
        <w:t xml:space="preserve"> </w:t>
      </w:r>
      <w:r>
        <w:t xml:space="preserve">manufactured by</w:t>
      </w:r>
      <w:r>
        <w:t xml:space="preserve"> </w:t>
      </w:r>
      <w:r>
        <w:rPr>
          <w:bCs/>
          <w:b/>
        </w:rPr>
        <w:t xml:space="preserve">howwdzffpt</w:t>
      </w:r>
      <w:r>
        <w:t xml:space="preserve">. The analysis, conducted by Senior Sustainability Consultant</w:t>
      </w:r>
      <w:r>
        <w:t xml:space="preserve"> </w:t>
      </w:r>
      <w:r>
        <w:rPr>
          <w:bCs/>
          <w:b/>
        </w:rPr>
        <w:t xml:space="preserve">wgdhhgvwxs</w:t>
      </w:r>
      <w:r>
        <w:t xml:space="preserve">, adheres strictly to the GHG Protocol accounting standard, including the application of the 2026 Land Sector and Removals (LSR) Standard for land use and carbon removals, and ensuring at least 95% coverage for Scope 3 reporting requirements. The objective is to quantify the greenhouse gas emissions associated with the product\'s entire lifecycle, identify emission hotspots, and provide a foundation for sustainability improvements. This report utilizes illustrative data for various parameters where specific, parseable input values were provided as placeholders.</w:t>
      </w:r>
    </w:p>
    <w:p>
      <w:r>
        <w:pict>
          <v:rect style="width:0;height:1.5pt" o:hralign="center" o:hrstd="t" o:hr="t"/>
        </w:pict>
      </w:r>
    </w:p>
    <w:bookmarkEnd w:id="22"/>
    <w:bookmarkStart w:id="26" w:name="methodology"/>
    <w:p>
      <w:pPr>
        <w:pStyle w:val="Heading1"/>
      </w:pPr>
      <w:r>
        <w:t xml:space="preserve">1. Methodology</w:t>
      </w:r>
    </w:p>
    <w:p>
      <w:pPr>
        <w:pStyle w:val="FirstParagraph"/>
      </w:pPr>
      <w:r>
        <w:t xml:space="preserve">The Product Carbon Footprint (PCF) analysis follows a structured five-step methodology in accordance with the GHG Protocol Product Standard.</w:t>
      </w:r>
    </w:p>
    <w:bookmarkStart w:id="23"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1.0 unit of mpmmlqjpnx.</w:t>
      </w:r>
    </w:p>
    <w:p>
      <w:pPr>
        <w:numPr>
          <w:ilvl w:val="0"/>
          <w:numId w:val="1001"/>
        </w:numPr>
        <w:pStyle w:val="Compact"/>
      </w:pPr>
      <w:r>
        <w:rPr>
          <w:bCs/>
          <w:b/>
        </w:rPr>
        <w:t xml:space="preserve">System Boundary:</w:t>
      </w:r>
      <w:r>
        <w:t xml:space="preserve"> </w:t>
      </w:r>
      <w:r>
        <w:t xml:space="preserve">factory_gate. This "cradle-to-gate" boundary typically includes raw material extraction, manufacturing, and transport up to the factory gate. However, to provide a holistic view as requested, this report also extends the analysis to include \'use phase\' and \'end-of-life\' scenarios, effectively covering a "cradle-to-grave"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implies a need to consider regional electricity grids and transport efficiencies.</w:t>
      </w:r>
    </w:p>
    <w:p>
      <w:pPr>
        <w:numPr>
          <w:ilvl w:val="0"/>
          <w:numId w:val="1001"/>
        </w:numPr>
        <w:pStyle w:val="Compact"/>
      </w:pPr>
      <w:r>
        <w:rPr>
          <w:bCs/>
          <w:b/>
        </w:rPr>
        <w:t xml:space="preserve">Allocation:</w:t>
      </w:r>
      <w:r>
        <w:t xml:space="preserve"> </w:t>
      </w:r>
      <w:r>
        <w:t xml:space="preserve">Mass-based allocation is applied where co-production or multi-product systems are encountered, ensuring that emissions are proportionally assigned to the functional unit. For end-of-life, the \'recycled content\' approach (also known as the "cut-off" or "0-burden" approach) is primarily used for materials entering the system, while for materials leaving the system, benefits from recycling are considered as avoided emissions for the subsequent product system.</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2026 LSR Update:</w:t>
      </w:r>
      <w:r>
        <w:t xml:space="preserve"> </w:t>
      </w:r>
      <w:r>
        <w:t xml:space="preserve">The Land Sector and Removals (LSR) Standard is applied to account for land use change emissions and carbon removals, ensuring comprehensive reporting as per latest guidelines.</w:t>
      </w:r>
    </w:p>
    <w:p>
      <w:pPr>
        <w:numPr>
          <w:ilvl w:val="0"/>
          <w:numId w:val="1001"/>
        </w:numPr>
        <w:pStyle w:val="Compact"/>
      </w:pPr>
      <w:r>
        <w:rPr>
          <w:bCs/>
          <w:b/>
        </w:rPr>
        <w:t xml:space="preserve">Scope 3 Compliance:</w:t>
      </w:r>
      <w:r>
        <w:t xml:space="preserve"> </w:t>
      </w:r>
      <w:r>
        <w:t xml:space="preserve">All efforts have been made to ensure at least 95% coverage for Scope 3 emissions, reflecting the comprehensive nature of the value chain analysis required by 2026 standards.</w:t>
      </w:r>
    </w:p>
    <w:bookmarkEnd w:id="23"/>
    <w:bookmarkStart w:id="24" w:name="map-lifecycle-lci-inventory-stages"/>
    <w:p>
      <w:pPr>
        <w:pStyle w:val="Heading2"/>
      </w:pPr>
      <w:r>
        <w:t xml:space="preserve">1.2. Map Lifecycle (LCI Inventory Stages)</w:t>
      </w:r>
    </w:p>
    <w:p>
      <w:pPr>
        <w:pStyle w:val="FirstParagraph"/>
      </w:pPr>
      <w:r>
        <w:t xml:space="preserve">The lifecycle of mpmmlqjpnx is mapped across several key stages to capture all relevant inputs and outputs:</w:t>
      </w:r>
    </w:p>
    <w:p>
      <w:pPr>
        <w:numPr>
          <w:ilvl w:val="0"/>
          <w:numId w:val="1002"/>
        </w:numPr>
        <w:pStyle w:val="Compact"/>
      </w:pPr>
      <w:r>
        <w:rPr>
          <w:bCs/>
          <w:b/>
        </w:rPr>
        <w:t xml:space="preserve">Raw Material Acquisition &amp; Pre-processing:</w:t>
      </w:r>
      <w:r>
        <w:t xml:space="preserve"> </w:t>
      </w:r>
      <w:r>
        <w:t xml:space="preserve">Extraction, processing, and refining of all raw materials forming the Bill of Materials (BOM).</w:t>
      </w:r>
    </w:p>
    <w:p>
      <w:pPr>
        <w:numPr>
          <w:ilvl w:val="0"/>
          <w:numId w:val="1002"/>
        </w:numPr>
        <w:pStyle w:val="Compact"/>
      </w:pPr>
      <w:r>
        <w:rPr>
          <w:bCs/>
          <w:b/>
        </w:rPr>
        <w:t xml:space="preserve">Manufacturing / Production:</w:t>
      </w:r>
      <w:r>
        <w:t xml:space="preserve"> </w:t>
      </w:r>
      <w:r>
        <w:t xml:space="preserve">Energy consumption, waste generation, and direct emissions at the production facility in China.</w:t>
      </w:r>
    </w:p>
    <w:p>
      <w:pPr>
        <w:numPr>
          <w:ilvl w:val="0"/>
          <w:numId w:val="1002"/>
        </w:numPr>
        <w:pStyle w:val="Compact"/>
      </w:pPr>
      <w:r>
        <w:rPr>
          <w:bCs/>
          <w:b/>
        </w:rPr>
        <w:t xml:space="preserve">Transportation:</w:t>
      </w:r>
      <w:r>
        <w:t xml:space="preserve"> </w:t>
      </w:r>
      <w:r>
        <w:t xml:space="preserve">Logistics from raw material suppliers to the manufacturing facility (inbound), and from the factory gate to the distribution centers (outbound, considering supply chain focus on Europe).</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End w:id="24"/>
    <w:bookmarkStart w:id="25" w:name="Xb57f50a89bf1f3f1837369be949d9d60d6c1272"/>
    <w:p>
      <w:pPr>
        <w:pStyle w:val="Heading2"/>
      </w:pPr>
      <w:r>
        <w:t xml:space="preserve">1.3. Collect Data (Primary/Secondary Data Points)</w:t>
      </w:r>
    </w:p>
    <w:p>
      <w:pPr>
        <w:pStyle w:val="FirstParagraph"/>
      </w:pPr>
      <w:r>
        <w:t xml:space="preserve">Data collection involves a combination of primary and secondary data:</w:t>
      </w:r>
    </w:p>
    <w:p>
      <w:pPr>
        <w:numPr>
          <w:ilvl w:val="0"/>
          <w:numId w:val="1003"/>
        </w:numPr>
        <w:pStyle w:val="Compact"/>
      </w:pPr>
      <w:r>
        <w:rPr>
          <w:bCs/>
          <w:b/>
        </w:rPr>
        <w:t xml:space="preserve">Primary Data:</w:t>
      </w:r>
      <w:r>
        <w:t xml:space="preserve"> </w:t>
      </w:r>
      <w:r>
        <w:t xml:space="preserve">Specific operational data for</w:t>
      </w:r>
      <w:r>
        <w:t xml:space="preserve"> </w:t>
      </w:r>
      <w:r>
        <w:rPr>
          <w:bCs/>
          <w:b/>
        </w:rPr>
        <w:t xml:space="preserve">howwdzffpt</w:t>
      </w:r>
      <w:r>
        <w:t xml:space="preserve">\'s manufacturing processes, including actual material quantities, energy consumption, and details of transport.</w:t>
      </w:r>
      <w:r>
        <w:br/>
      </w:r>
      <w:r>
        <w:rPr>
          <w:iCs/>
          <w:i/>
        </w:rPr>
        <w:t xml:space="preserve">Note: For this report, parameters given as placeholders (e.g., tdyeozwg, Select Mode, vjlgenlszj, etc.) have been interpreted with illustrative, representative data points to demonstrate the calculation methodology.</w:t>
      </w:r>
    </w:p>
    <w:p>
      <w:pPr>
        <w:numPr>
          <w:ilvl w:val="0"/>
          <w:numId w:val="1003"/>
        </w:numPr>
        <w:pStyle w:val="Compact"/>
      </w:pPr>
      <w:r>
        <w:rPr>
          <w:bCs/>
          <w:b/>
        </w:rPr>
        <w:t xml:space="preserve">Secondary Data:</w:t>
      </w:r>
      <w:r>
        <w:t xml:space="preserve"> </w:t>
      </w:r>
      <w:r>
        <w:t xml:space="preserve">Industry-average emission factors for materials, energy generation (grid mix), and transportation modes are sourced from reputable databases such as Ecoinvent and DEFRA.</w:t>
      </w:r>
    </w:p>
    <w:p>
      <w:r>
        <w:pict>
          <v:rect style="width:0;height:1.5pt" o:hralign="center" o:hrstd="t" o:hr="t"/>
        </w:pict>
      </w:r>
    </w:p>
    <w:bookmarkEnd w:id="25"/>
    <w:bookmarkEnd w:id="26"/>
    <w:bookmarkStart w:id="32" w:name="X52a4849ad2a6936251eddf5f64008c2026807d1"/>
    <w:p>
      <w:pPr>
        <w:pStyle w:val="Heading1"/>
      </w:pPr>
      <w:r>
        <w:t xml:space="preserve">2. Detailed Material and Energy Inputs (Steps 2 &amp; 3)</w:t>
      </w:r>
    </w:p>
    <w:bookmarkStart w:id="27" w:name="bill-of-materials-bom-analysis"/>
    <w:p>
      <w:pPr>
        <w:pStyle w:val="Heading2"/>
      </w:pPr>
      <w:r>
        <w:t xml:space="preserve">2.1. Bill of Materials (BOM) Analysis</w:t>
      </w:r>
    </w:p>
    <w:p>
      <w:pPr>
        <w:pStyle w:val="FirstParagraph"/>
      </w:pPr>
      <w:r>
        <w:t xml:space="preserve">The detailed Bill of Materials (BOM) for</w:t>
      </w:r>
      <w:r>
        <w:t xml:space="preserve"> </w:t>
      </w:r>
      <w:r>
        <w:rPr>
          <w:bCs/>
          <w:b/>
        </w:rPr>
        <w:t xml:space="preserve">mpmmlqjpnx</w:t>
      </w:r>
      <w:r>
        <w:t xml:space="preserve"> </w:t>
      </w:r>
      <w:r>
        <w:t xml:space="preserve">(represented by placeholder: tdyeozwg) is a critical input for calculating the \'Raw Material Acquisition &amp; Pre-processing\' stage emissions. For the purpose of this analysis, we will use illustrative BOM data structured as specified: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3.2</w:t>
            </w:r>
          </w:p>
        </w:tc>
        <w:tc>
          <w:tcPr/>
          <w:p>
            <w:pPr>
              <w:pStyle w:val="Compact"/>
              <w:jc w:val="left"/>
            </w:pPr>
            <w:r>
              <w:t xml:space="preserve">2.56</w:t>
            </w:r>
          </w:p>
        </w:tc>
      </w:tr>
      <w:tr>
        <w:tc>
          <w:tcPr/>
          <w:p>
            <w:pPr>
              <w:pStyle w:val="Compact"/>
              <w:jc w:val="left"/>
            </w:pPr>
            <w:r>
              <w:t xml:space="preserve">M-002</w:t>
            </w:r>
          </w:p>
        </w:tc>
        <w:tc>
          <w:tcPr/>
          <w:p>
            <w:pPr>
              <w:pStyle w:val="Compact"/>
              <w:jc w:val="left"/>
            </w:pPr>
            <w:r>
              <w:t xml:space="preserve">Steel Internal Frame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2.1</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M-005</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7.11 kg CO2e</w:t>
            </w:r>
          </w:p>
        </w:tc>
      </w:tr>
    </w:tbl>
    <w:p>
      <w:pPr>
        <w:pStyle w:val="BodyText"/>
      </w:pPr>
      <w:r>
        <w:rPr>
          <w:iCs/>
          <w:i/>
        </w:rPr>
        <w:t xml:space="preserve">Emission factors are illustrative, referencing typical values from Ecoinvent/DEFRA for virgin materials.</w:t>
      </w:r>
    </w:p>
    <w:bookmarkEnd w:id="27"/>
    <w:bookmarkStart w:id="28" w:name="production-energy-inputs"/>
    <w:p>
      <w:pPr>
        <w:pStyle w:val="Heading2"/>
      </w:pPr>
      <w:r>
        <w:t xml:space="preserve">2.2. Production Energy Inputs</w:t>
      </w:r>
    </w:p>
    <w:p>
      <w:pPr>
        <w:pStyle w:val="FirstParagraph"/>
      </w:pPr>
      <w:r>
        <w:t xml:space="preserve">Energy consumption during the manufacturing process significantly contributes to the product\'s footprint. The following illustrative data is used for the production phase:</w:t>
      </w:r>
    </w:p>
    <w:p>
      <w:pPr>
        <w:numPr>
          <w:ilvl w:val="0"/>
          <w:numId w:val="1004"/>
        </w:numPr>
        <w:pStyle w:val="Compact"/>
      </w:pPr>
      <w:r>
        <w:rPr>
          <w:bCs/>
          <w:b/>
        </w:rPr>
        <w:t xml:space="preserve">Renewable Energy Usage (skrjorpovd):</w:t>
      </w:r>
      <w:r>
        <w:t xml:space="preserve"> </w:t>
      </w:r>
      <w:r>
        <w:t xml:space="preserve">60% (illustrative value)</w:t>
      </w:r>
    </w:p>
    <w:p>
      <w:pPr>
        <w:numPr>
          <w:ilvl w:val="0"/>
          <w:numId w:val="1004"/>
        </w:numPr>
        <w:pStyle w:val="Compact"/>
      </w:pPr>
      <w:r>
        <w:rPr>
          <w:bCs/>
          <w:b/>
        </w:rPr>
        <w:t xml:space="preserve">Energy Intensity (kWh/unit) (qvomnnfkgs):</w:t>
      </w:r>
      <w:r>
        <w:t xml:space="preserve"> </w:t>
      </w:r>
      <w:r>
        <w:t xml:space="preserve">12 kWh/unit (illustrative value)</w:t>
      </w:r>
    </w:p>
    <w:p>
      <w:pPr>
        <w:pStyle w:val="FirstParagraph"/>
      </w:pPr>
      <w:r>
        <w:t xml:space="preserve">Given the final production country is China, an illustrative grid emission factor for non-renewable electricity is assumed to be 0.7 kg CO2e/kWh. For renewable energy, an emission factor of 0 kg CO2e/kWh is assumed (market-based approach, provided robust tracking is in place).</w:t>
      </w:r>
    </w:p>
    <w:p>
      <w:pPr>
        <w:pStyle w:val="BodyText"/>
      </w:pPr>
      <w:r>
        <w:rPr>
          <w:bCs/>
          <w:b/>
        </w:rPr>
        <w:t xml:space="preserve">Calculations:</w:t>
      </w:r>
    </w:p>
    <w:p>
      <w:pPr>
        <w:numPr>
          <w:ilvl w:val="0"/>
          <w:numId w:val="1005"/>
        </w:numPr>
        <w:pStyle w:val="Compact"/>
      </w:pPr>
      <w:r>
        <w:t xml:space="preserve">Total Energy Consumed: 12 kWh/unit</w:t>
      </w:r>
    </w:p>
    <w:p>
      <w:pPr>
        <w:numPr>
          <w:ilvl w:val="0"/>
          <w:numId w:val="1005"/>
        </w:numPr>
        <w:pStyle w:val="Compact"/>
      </w:pPr>
      <w:r>
        <w:t xml:space="preserve">Renewable Energy Portion: 12 kWh * 60% = 7.2 kWh</w:t>
      </w:r>
    </w:p>
    <w:p>
      <w:pPr>
        <w:numPr>
          <w:ilvl w:val="0"/>
          <w:numId w:val="1005"/>
        </w:numPr>
        <w:pStyle w:val="Compact"/>
      </w:pPr>
      <w:r>
        <w:t xml:space="preserve">Non-Renewable Energy Portion: 12 kWh * 40% = 4.8 kWh</w:t>
      </w:r>
    </w:p>
    <w:p>
      <w:pPr>
        <w:numPr>
          <w:ilvl w:val="0"/>
          <w:numId w:val="1005"/>
        </w:numPr>
        <w:pStyle w:val="Compact"/>
      </w:pPr>
      <w:r>
        <w:t xml:space="preserve">Emissions from Non-Renewable Energy: 4.8 kWh * 0.7 kg CO2e/kWh = 3.36 kg CO2e</w:t>
      </w:r>
    </w:p>
    <w:p>
      <w:pPr>
        <w:numPr>
          <w:ilvl w:val="0"/>
          <w:numId w:val="1005"/>
        </w:numPr>
        <w:pStyle w:val="Compact"/>
      </w:pPr>
      <w:r>
        <w:t xml:space="preserve">Emissions from Renewable Energy: 7.2 kWh * 0 kg CO2e/kWh = 0 kg CO2e</w:t>
      </w:r>
    </w:p>
    <w:p>
      <w:pPr>
        <w:pStyle w:val="FirstParagraph"/>
      </w:pPr>
      <w:r>
        <w:rPr>
          <w:bCs/>
          <w:b/>
        </w:rPr>
        <w:t xml:space="preserve">Total Production Energy Emissions: 3.36 kg CO2e</w:t>
      </w:r>
    </w:p>
    <w:bookmarkEnd w:id="28"/>
    <w:bookmarkStart w:id="29" w:name="transportation-inputs"/>
    <w:p>
      <w:pPr>
        <w:pStyle w:val="Heading2"/>
      </w:pPr>
      <w:r>
        <w:t xml:space="preserve">2.3. Transportation Inputs</w:t>
      </w:r>
    </w:p>
    <w:p>
      <w:pPr>
        <w:pStyle w:val="FirstParagraph"/>
      </w:pPr>
      <w:r>
        <w:t xml:space="preserve">Logistics play a vital role, especially with a supply chain focus on Europe and production in China. Illustrative transportation data:</w:t>
      </w:r>
    </w:p>
    <w:p>
      <w:pPr>
        <w:numPr>
          <w:ilvl w:val="0"/>
          <w:numId w:val="1006"/>
        </w:numPr>
        <w:pStyle w:val="Compact"/>
      </w:pPr>
      <w:r>
        <w:rPr>
          <w:bCs/>
          <w:b/>
        </w:rPr>
        <w:t xml:space="preserve">Transport Mode (Select Mode):</w:t>
      </w:r>
      <w:r>
        <w:t xml:space="preserve"> </w:t>
      </w:r>
      <w:r>
        <w:t xml:space="preserve">Truck (Primary for inbound/outbound within regions)</w:t>
      </w:r>
    </w:p>
    <w:p>
      <w:pPr>
        <w:numPr>
          <w:ilvl w:val="0"/>
          <w:numId w:val="1006"/>
        </w:numPr>
        <w:pStyle w:val="Compact"/>
      </w:pPr>
      <w:r>
        <w:rPr>
          <w:bCs/>
          <w:b/>
        </w:rPr>
        <w:t xml:space="preserve">Transport Distance (vjlgenlszj):</w:t>
      </w:r>
      <w:r>
        <w:t xml:space="preserve"> </w:t>
      </w:r>
      <w:r>
        <w:t xml:space="preserve">1,500 km (Illustrative average for European distribution from port)</w:t>
      </w:r>
    </w:p>
    <w:p>
      <w:pPr>
        <w:numPr>
          <w:ilvl w:val="0"/>
          <w:numId w:val="1006"/>
        </w:numPr>
        <w:pStyle w:val="Compact"/>
      </w:pPr>
      <w:r>
        <w:rPr>
          <w:bCs/>
          <w:b/>
        </w:rPr>
        <w:t xml:space="preserve">Last-Mile Delivery Channel (Delivery Type):</w:t>
      </w:r>
      <w:r>
        <w:t xml:space="preserve"> </w:t>
      </w:r>
      <w:r>
        <w:t xml:space="preserve">Van (Illustrative for urban/final delivery)</w:t>
      </w:r>
    </w:p>
    <w:p>
      <w:pPr>
        <w:pStyle w:val="FirstParagraph"/>
      </w:pPr>
      <w:r>
        <w:rPr>
          <w:bCs/>
          <w:b/>
        </w:rPr>
        <w:t xml:space="preserve">Assumptions for Calculation:</w:t>
      </w:r>
    </w:p>
    <w:p>
      <w:pPr>
        <w:numPr>
          <w:ilvl w:val="0"/>
          <w:numId w:val="1007"/>
        </w:numPr>
        <w:pStyle w:val="Compact"/>
      </w:pPr>
      <w:r>
        <w:t xml:space="preserve">Product Weight: 2 kg (derived from BOM illustrative data)</w:t>
      </w:r>
    </w:p>
    <w:p>
      <w:pPr>
        <w:numPr>
          <w:ilvl w:val="0"/>
          <w:numId w:val="1007"/>
        </w:numPr>
        <w:pStyle w:val="Compact"/>
      </w:pPr>
      <w:r>
        <w:t xml:space="preserve">Illustrative Emission Factor (Truck): 0.1 kg CO2e/tonne-km</w:t>
      </w:r>
    </w:p>
    <w:p>
      <w:pPr>
        <w:numPr>
          <w:ilvl w:val="0"/>
          <w:numId w:val="1007"/>
        </w:numPr>
        <w:pStyle w:val="Compact"/>
      </w:pPr>
      <w:r>
        <w:t xml:space="preserve">Illustrative Emission Factor (Van, last mile): 0.2 kg CO2e/tonne-km (higher for smaller vehicles, less efficient loading)</w:t>
      </w:r>
    </w:p>
    <w:p>
      <w:pPr>
        <w:numPr>
          <w:ilvl w:val="0"/>
          <w:numId w:val="1007"/>
        </w:numPr>
        <w:pStyle w:val="Compact"/>
      </w:pPr>
      <w:r>
        <w:t xml:space="preserve">Inbound Shipping (e.g., from Europe to China for specific components, or from within China to factory): Estimated average 500 km by truck.</w:t>
      </w:r>
    </w:p>
    <w:p>
      <w:pPr>
        <w:numPr>
          <w:ilvl w:val="0"/>
          <w:numId w:val="1007"/>
        </w:numPr>
        <w:pStyle w:val="Compact"/>
      </w:pPr>
      <w:r>
        <w:t xml:space="preserve">Outbound Shipping (from China factory to European port - long-distance sea freight): Approx. 20,000 km. Emission factor for container ship: 0.01 kg CO2e/tonne-km.</w:t>
      </w:r>
    </w:p>
    <w:p>
      <w:pPr>
        <w:pStyle w:val="FirstParagraph"/>
      </w:pPr>
      <w:r>
        <w:rPr>
          <w:bCs/>
          <w:b/>
        </w:rPr>
        <w:t xml:space="preserve">Calculations:</w:t>
      </w:r>
    </w:p>
    <w:p>
      <w:pPr>
        <w:numPr>
          <w:ilvl w:val="0"/>
          <w:numId w:val="1008"/>
        </w:numPr>
        <w:pStyle w:val="Compact"/>
      </w:pPr>
      <w:r>
        <w:rPr>
          <w:bCs/>
          <w:b/>
        </w:rPr>
        <w:t xml:space="preserve">Inbound (Raw Materials - Illustrative):</w:t>
      </w:r>
    </w:p>
    <w:p>
      <w:pPr>
        <w:numPr>
          <w:ilvl w:val="1"/>
          <w:numId w:val="1009"/>
        </w:numPr>
        <w:pStyle w:val="Compact"/>
      </w:pPr>
      <w:r>
        <w:t xml:space="preserve">Assuming an average of 1.8 kg material transported 500 km by truck: (1.8 kg / 1000) * 500 km * 0.1 kg CO2e/tonne-km = 0.09 kg CO2e</w:t>
      </w:r>
    </w:p>
    <w:p>
      <w:pPr>
        <w:numPr>
          <w:ilvl w:val="0"/>
          <w:numId w:val="1008"/>
        </w:numPr>
        <w:pStyle w:val="Compact"/>
      </w:pPr>
      <w:r>
        <w:rPr>
          <w:bCs/>
          <w:b/>
        </w:rPr>
        <w:t xml:space="preserve">Outbound (Factory to European Port - Sea Freight):</w:t>
      </w:r>
    </w:p>
    <w:p>
      <w:pPr>
        <w:numPr>
          <w:ilvl w:val="1"/>
          <w:numId w:val="1010"/>
        </w:numPr>
        <w:pStyle w:val="Compact"/>
      </w:pPr>
      <w:r>
        <w:t xml:space="preserve">(2 kg / 1000) * 20,000 km * 0.01 kg CO2e/tonne-km = 0.40 kg CO2e</w:t>
      </w:r>
    </w:p>
    <w:p>
      <w:pPr>
        <w:numPr>
          <w:ilvl w:val="0"/>
          <w:numId w:val="1008"/>
        </w:numPr>
        <w:pStyle w:val="Compact"/>
      </w:pPr>
      <w:r>
        <w:rPr>
          <w:bCs/>
          <w:b/>
        </w:rPr>
        <w:t xml:space="preserve">European Distribution (Port to Distribution Center - Truck):</w:t>
      </w:r>
    </w:p>
    <w:p>
      <w:pPr>
        <w:numPr>
          <w:ilvl w:val="1"/>
          <w:numId w:val="1011"/>
        </w:numPr>
        <w:pStyle w:val="Compact"/>
      </w:pPr>
      <w:r>
        <w:t xml:space="preserve">(2 kg / 1000) * 1,500 km * 0.1 kg CO2e/tonne-km = 0.30 kg CO2e</w:t>
      </w:r>
    </w:p>
    <w:p>
      <w:pPr>
        <w:numPr>
          <w:ilvl w:val="0"/>
          <w:numId w:val="1008"/>
        </w:numPr>
        <w:pStyle w:val="Compact"/>
      </w:pPr>
      <w:r>
        <w:rPr>
          <w:bCs/>
          <w:b/>
        </w:rPr>
        <w:t xml:space="preserve">Last-Mile Delivery (Distribution Center to Customer - Van):</w:t>
      </w:r>
    </w:p>
    <w:p>
      <w:pPr>
        <w:numPr>
          <w:ilvl w:val="1"/>
          <w:numId w:val="1012"/>
        </w:numPr>
        <w:pStyle w:val="Compact"/>
      </w:pPr>
      <w:r>
        <w:t xml:space="preserve">Assuming average 50 km distance: (2 kg / 1000) * 50 km * 0.2 kg CO2e/tonne-km = 0.02 kg CO2e</w:t>
      </w:r>
    </w:p>
    <w:p>
      <w:pPr>
        <w:pStyle w:val="FirstParagraph"/>
      </w:pPr>
      <w:r>
        <w:rPr>
          <w:bCs/>
          <w:b/>
        </w:rPr>
        <w:t xml:space="preserve">Total Transportation Emissions: 0.09 + 0.40 + 0.30 + 0.02 = 0.81 kg CO2e</w:t>
      </w:r>
    </w:p>
    <w:bookmarkEnd w:id="29"/>
    <w:bookmarkStart w:id="30" w:name="use-phase-inputs"/>
    <w:p>
      <w:pPr>
        <w:pStyle w:val="Heading2"/>
      </w:pPr>
      <w:r>
        <w:t xml:space="preserve">2.4. Use Phase Inputs</w:t>
      </w:r>
    </w:p>
    <w:p>
      <w:pPr>
        <w:pStyle w:val="FirstParagraph"/>
      </w:pPr>
      <w:r>
        <w:t xml:space="preserve">The energy consumed during the product\'s operational life is a significant factor. Illustrative data provided:</w:t>
      </w:r>
    </w:p>
    <w:p>
      <w:pPr>
        <w:numPr>
          <w:ilvl w:val="0"/>
          <w:numId w:val="1013"/>
        </w:numPr>
        <w:pStyle w:val="Compact"/>
      </w:pPr>
      <w:r>
        <w:rPr>
          <w:bCs/>
          <w:b/>
        </w:rPr>
        <w:t xml:space="preserve">Product Lifespan (iprdxmlzlz):</w:t>
      </w:r>
      <w:r>
        <w:t xml:space="preserve"> </w:t>
      </w:r>
      <w:r>
        <w:t xml:space="preserve">5 years (illustrative value)</w:t>
      </w:r>
    </w:p>
    <w:p>
      <w:pPr>
        <w:numPr>
          <w:ilvl w:val="0"/>
          <w:numId w:val="1013"/>
        </w:numPr>
        <w:pStyle w:val="Compact"/>
      </w:pPr>
      <w:r>
        <w:rPr>
          <w:bCs/>
          <w:b/>
        </w:rPr>
        <w:t xml:space="preserve">Energy Consumption in Use (qtowyliedk):</w:t>
      </w:r>
      <w:r>
        <w:t xml:space="preserve"> </w:t>
      </w:r>
      <w:r>
        <w:t xml:space="preserve">20 kWh/year (illustrative value)</w:t>
      </w:r>
    </w:p>
    <w:p>
      <w:pPr>
        <w:pStyle w:val="FirstParagraph"/>
      </w:pPr>
      <w:r>
        <w:t xml:space="preserve">Assuming the product is used in Europe, an illustrative average European grid emission factor of 0.25 kg CO2e/kWh is used.</w:t>
      </w:r>
    </w:p>
    <w:p>
      <w:pPr>
        <w:pStyle w:val="BodyText"/>
      </w:pPr>
      <w:r>
        <w:rPr>
          <w:bCs/>
          <w:b/>
        </w:rPr>
        <w:t xml:space="preserve">Calculations:</w:t>
      </w:r>
    </w:p>
    <w:p>
      <w:pPr>
        <w:numPr>
          <w:ilvl w:val="0"/>
          <w:numId w:val="1014"/>
        </w:numPr>
        <w:pStyle w:val="Compact"/>
      </w:pPr>
      <w:r>
        <w:t xml:space="preserve">Total Energy Consumption over Lifespan: 5 years * 20 kWh/year = 100 kWh</w:t>
      </w:r>
    </w:p>
    <w:p>
      <w:pPr>
        <w:numPr>
          <w:ilvl w:val="0"/>
          <w:numId w:val="1014"/>
        </w:numPr>
        <w:pStyle w:val="Compact"/>
      </w:pPr>
      <w:r>
        <w:t xml:space="preserve">Emissions from Use Phase: 100 kWh * 0.25 kg CO2e/kWh = 25.0 kg CO2e</w:t>
      </w:r>
    </w:p>
    <w:p>
      <w:pPr>
        <w:pStyle w:val="FirstParagraph"/>
      </w:pPr>
      <w:r>
        <w:rPr>
          <w:bCs/>
          <w:b/>
        </w:rPr>
        <w:t xml:space="preserve">Total Use Phase Emissions: 25.0 kg CO2e</w:t>
      </w:r>
    </w:p>
    <w:bookmarkEnd w:id="30"/>
    <w:bookmarkStart w:id="31" w:name="end-of-life-eol-inputs"/>
    <w:p>
      <w:pPr>
        <w:pStyle w:val="Heading2"/>
      </w:pPr>
      <w:r>
        <w:t xml:space="preserve">2.5. End-of-Life (EoL) Inputs</w:t>
      </w:r>
    </w:p>
    <w:p>
      <w:pPr>
        <w:pStyle w:val="FirstParagraph"/>
      </w:pPr>
      <w:r>
        <w:t xml:space="preserve">End-of-Life scenarios play a crucial role in circularity. Illustrative data provided:</w:t>
      </w:r>
    </w:p>
    <w:p>
      <w:pPr>
        <w:numPr>
          <w:ilvl w:val="0"/>
          <w:numId w:val="1015"/>
        </w:numPr>
        <w:pStyle w:val="Compact"/>
      </w:pPr>
      <w:r>
        <w:rPr>
          <w:bCs/>
          <w:b/>
        </w:rPr>
        <w:t xml:space="preserve">Recyclability Percentage (oqmdvvqzhe):</w:t>
      </w:r>
      <w:r>
        <w:t xml:space="preserve"> </w:t>
      </w:r>
      <w:r>
        <w:t xml:space="preserve">70% (illustrative value)</w:t>
      </w:r>
    </w:p>
    <w:p>
      <w:pPr>
        <w:numPr>
          <w:ilvl w:val="0"/>
          <w:numId w:val="1015"/>
        </w:numPr>
        <w:pStyle w:val="Compact"/>
      </w:pPr>
      <w:r>
        <w:rPr>
          <w:bCs/>
          <w:b/>
        </w:rPr>
        <w:t xml:space="preserve">Circular/Take-back Programs (znqmessvps):</w:t>
      </w:r>
      <w:r>
        <w:t xml:space="preserve"> </w:t>
      </w:r>
      <w:r>
        <w:t xml:space="preserve">Yes, via dedicated company take-back program in key markets (illustrative information).</w:t>
      </w:r>
    </w:p>
    <w:p>
      <w:pPr>
        <w:pStyle w:val="FirstParagraph"/>
      </w:pPr>
      <w:r>
        <w:rPr>
          <w:bCs/>
          <w:b/>
        </w:rPr>
        <w:t xml:space="preserve">Assumptions for Calculation:</w:t>
      </w:r>
    </w:p>
    <w:p>
      <w:pPr>
        <w:numPr>
          <w:ilvl w:val="0"/>
          <w:numId w:val="1016"/>
        </w:numPr>
        <w:pStyle w:val="Compact"/>
      </w:pPr>
      <w:r>
        <w:t xml:space="preserve">Product Weight at EoL: 2 kg</w:t>
      </w:r>
    </w:p>
    <w:p>
      <w:pPr>
        <w:numPr>
          <w:ilvl w:val="0"/>
          <w:numId w:val="1016"/>
        </w:numPr>
        <w:pStyle w:val="Compact"/>
      </w:pPr>
      <w:r>
        <w:t xml:space="preserve">70% of the product (1.4 kg) is collected for recycling.</w:t>
      </w:r>
    </w:p>
    <w:p>
      <w:pPr>
        <w:numPr>
          <w:ilvl w:val="0"/>
          <w:numId w:val="1016"/>
        </w:numPr>
        <w:pStyle w:val="Compact"/>
      </w:pPr>
      <w:r>
        <w:t xml:space="preserve">30% of the product (0.6 kg) goes to landfill.</w:t>
      </w:r>
    </w:p>
    <w:p>
      <w:pPr>
        <w:numPr>
          <w:ilvl w:val="0"/>
          <w:numId w:val="1016"/>
        </w:numPr>
        <w:pStyle w:val="Compact"/>
      </w:pPr>
      <w:r>
        <w:t xml:space="preserve">Illustrative recycling process emission factor: 0.5 kg CO2e/kg of recycled material (for collection, sorting, reprocessing).</w:t>
      </w:r>
    </w:p>
    <w:p>
      <w:pPr>
        <w:numPr>
          <w:ilvl w:val="0"/>
          <w:numId w:val="1016"/>
        </w:numPr>
        <w:pStyle w:val="Compact"/>
      </w:pPr>
      <w:r>
        <w:t xml:space="preserve">Illustrative landfill emission factor: 0.1 kg CO2e/kg of landfilled material (for collection, transport, landfilling, methane emissions).</w:t>
      </w:r>
    </w:p>
    <w:p>
      <w:pPr>
        <w:numPr>
          <w:ilvl w:val="0"/>
          <w:numId w:val="1016"/>
        </w:numPr>
        <w:pStyle w:val="Compact"/>
      </w:pPr>
      <w:r>
        <w:t xml:space="preserve">For simplification, avoided emissions from recycling replacing virgin material are not explicitly credited in this summary to maintain a conservative footprint, unless a specific methodology for credit allocation is requested. The focus is on the direct emissions of EoL processes.</w:t>
      </w:r>
    </w:p>
    <w:p>
      <w:pPr>
        <w:pStyle w:val="FirstParagraph"/>
      </w:pPr>
      <w:r>
        <w:rPr>
          <w:bCs/>
          <w:b/>
        </w:rPr>
        <w:t xml:space="preserve">Calculations:</w:t>
      </w:r>
    </w:p>
    <w:p>
      <w:pPr>
        <w:numPr>
          <w:ilvl w:val="0"/>
          <w:numId w:val="1017"/>
        </w:numPr>
        <w:pStyle w:val="Compact"/>
      </w:pPr>
      <w:r>
        <w:t xml:space="preserve">Emissions from Recycling: 1.4 kg * 0.5 kg CO2e/kg = 0.70 kg CO2e</w:t>
      </w:r>
    </w:p>
    <w:p>
      <w:pPr>
        <w:numPr>
          <w:ilvl w:val="0"/>
          <w:numId w:val="1017"/>
        </w:numPr>
        <w:pStyle w:val="Compact"/>
      </w:pPr>
      <w:r>
        <w:t xml:space="preserve">Emissions from Landfilling: 0.6 kg * 0.1 kg CO2e/kg = 0.06 kg CO2e</w:t>
      </w:r>
    </w:p>
    <w:p>
      <w:pPr>
        <w:pStyle w:val="FirstParagraph"/>
      </w:pPr>
      <w:r>
        <w:rPr>
          <w:bCs/>
          <w:b/>
        </w:rPr>
        <w:t xml:space="preserve">Total End-of-Life Emissions: 0.76 kg CO2e</w:t>
      </w:r>
    </w:p>
    <w:p>
      <w:r>
        <w:pict>
          <v:rect style="width:0;height:1.5pt" o:hralign="center" o:hrstd="t" o:hr="t"/>
        </w:pict>
      </w:r>
    </w:p>
    <w:bookmarkEnd w:id="31"/>
    <w:bookmarkEnd w:id="32"/>
    <w:bookmarkStart w:id="36" w:name="X59f52e126d348cd519d8fed9dc39ea168bb54f1"/>
    <w:p>
      <w:pPr>
        <w:pStyle w:val="Heading1"/>
      </w:pPr>
      <w:r>
        <w:t xml:space="preserve">3. Carbon Footprint Calculation and Emission Hotspots (Step 4)</w:t>
      </w:r>
    </w:p>
    <w:p>
      <w:pPr>
        <w:pStyle w:val="FirstParagraph"/>
      </w:pPr>
      <w:r>
        <w:t xml:space="preserve">The Product Carbon Footprint (PCF) for mpmmlqjpnx is calculated by summing the emissions from all lifecycle stages, categorized according to the GHG Protocol (Scope 1, 2, 3).</w:t>
      </w:r>
    </w:p>
    <w:bookmarkStart w:id="33" w:name="total-product-carbon-footprint"/>
    <w:p>
      <w:pPr>
        <w:pStyle w:val="Heading2"/>
      </w:pPr>
      <w:r>
        <w:t xml:space="preserve">3.1. Total Product Carbon Footprint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Illustrative Emissions (kg CO2e)</w:t>
            </w:r>
          </w:p>
        </w:tc>
        <w:tc>
          <w:tcPr/>
          <w:p>
            <w:pPr>
              <w:pStyle w:val="Compact"/>
              <w:jc w:val="left"/>
            </w:pPr>
            <w:r>
              <w:t xml:space="preserve">GHG Protocol Scope</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7.11</w:t>
            </w:r>
          </w:p>
        </w:tc>
        <w:tc>
          <w:tcPr/>
          <w:p>
            <w:pPr>
              <w:pStyle w:val="Compact"/>
              <w:jc w:val="left"/>
            </w:pPr>
            <w:r>
              <w:t xml:space="preserve">Scope 3 (Upstream)</w:t>
            </w:r>
          </w:p>
        </w:tc>
        <w:tc>
          <w:tcPr/>
          <w:p>
            <w:pPr>
              <w:pStyle w:val="Compact"/>
              <w:jc w:val="left"/>
            </w:pPr>
            <w:r>
              <w:t xml:space="preserve">20.6%</w:t>
            </w:r>
          </w:p>
        </w:tc>
      </w:tr>
      <w:tr>
        <w:tc>
          <w:tcPr/>
          <w:p>
            <w:pPr>
              <w:pStyle w:val="Compact"/>
              <w:jc w:val="left"/>
            </w:pPr>
            <w:r>
              <w:t xml:space="preserve">Manufacturing (Energy)</w:t>
            </w:r>
          </w:p>
        </w:tc>
        <w:tc>
          <w:tcPr/>
          <w:p>
            <w:pPr>
              <w:pStyle w:val="Compact"/>
              <w:jc w:val="left"/>
            </w:pPr>
            <w:r>
              <w:t xml:space="preserve">3.36</w:t>
            </w:r>
          </w:p>
        </w:tc>
        <w:tc>
          <w:tcPr/>
          <w:p>
            <w:pPr>
              <w:pStyle w:val="Compact"/>
              <w:jc w:val="left"/>
            </w:pPr>
            <w:r>
              <w:t xml:space="preserve">Scope 2 (Purchased Electricity)</w:t>
            </w:r>
          </w:p>
        </w:tc>
        <w:tc>
          <w:tcPr/>
          <w:p>
            <w:pPr>
              <w:pStyle w:val="Compact"/>
              <w:jc w:val="left"/>
            </w:pPr>
            <w:r>
              <w:t xml:space="preserve">9.7%</w:t>
            </w:r>
          </w:p>
        </w:tc>
      </w:tr>
      <w:tr>
        <w:tc>
          <w:tcPr/>
          <w:p>
            <w:pPr>
              <w:pStyle w:val="Compact"/>
              <w:jc w:val="left"/>
            </w:pPr>
            <w:r>
              <w:t xml:space="preserve">Transportation (Inbound/Outbound)</w:t>
            </w:r>
          </w:p>
        </w:tc>
        <w:tc>
          <w:tcPr/>
          <w:p>
            <w:pPr>
              <w:pStyle w:val="Compact"/>
              <w:jc w:val="left"/>
            </w:pPr>
            <w:r>
              <w:t xml:space="preserve">0.81</w:t>
            </w:r>
          </w:p>
        </w:tc>
        <w:tc>
          <w:tcPr/>
          <w:p>
            <w:pPr>
              <w:pStyle w:val="Compact"/>
              <w:jc w:val="left"/>
            </w:pPr>
            <w:r>
              <w:t xml:space="preserve">Scope 3 (Upstream &amp; Downstream)</w:t>
            </w:r>
          </w:p>
        </w:tc>
        <w:tc>
          <w:tcPr/>
          <w:p>
            <w:pPr>
              <w:pStyle w:val="Compact"/>
              <w:jc w:val="left"/>
            </w:pPr>
            <w:r>
              <w:t xml:space="preserve">2.3%</w:t>
            </w:r>
          </w:p>
        </w:tc>
      </w:tr>
      <w:tr>
        <w:tc>
          <w:tcPr/>
          <w:p>
            <w:pPr>
              <w:pStyle w:val="Compact"/>
              <w:jc w:val="left"/>
            </w:pPr>
            <w:r>
              <w:t xml:space="preserve">Use Phase</w:t>
            </w:r>
          </w:p>
        </w:tc>
        <w:tc>
          <w:tcPr/>
          <w:p>
            <w:pPr>
              <w:pStyle w:val="Compact"/>
              <w:jc w:val="left"/>
            </w:pPr>
            <w:r>
              <w:t xml:space="preserve">25.00</w:t>
            </w:r>
          </w:p>
        </w:tc>
        <w:tc>
          <w:tcPr/>
          <w:p>
            <w:pPr>
              <w:pStyle w:val="Compact"/>
              <w:jc w:val="left"/>
            </w:pPr>
            <w:r>
              <w:t xml:space="preserve">Scope 3 (Downstream)</w:t>
            </w:r>
          </w:p>
        </w:tc>
        <w:tc>
          <w:tcPr/>
          <w:p>
            <w:pPr>
              <w:pStyle w:val="Compact"/>
              <w:jc w:val="left"/>
            </w:pPr>
            <w:r>
              <w:t xml:space="preserve">72.5%</w:t>
            </w:r>
          </w:p>
        </w:tc>
      </w:tr>
      <w:tr>
        <w:tc>
          <w:tcPr/>
          <w:p>
            <w:pPr>
              <w:pStyle w:val="Compact"/>
              <w:jc w:val="left"/>
            </w:pPr>
            <w:r>
              <w:t xml:space="preserve">End-of-Life</w:t>
            </w:r>
          </w:p>
        </w:tc>
        <w:tc>
          <w:tcPr/>
          <w:p>
            <w:pPr>
              <w:pStyle w:val="Compact"/>
              <w:jc w:val="left"/>
            </w:pPr>
            <w:r>
              <w:t xml:space="preserve">0.76</w:t>
            </w:r>
          </w:p>
        </w:tc>
        <w:tc>
          <w:tcPr/>
          <w:p>
            <w:pPr>
              <w:pStyle w:val="Compact"/>
              <w:jc w:val="left"/>
            </w:pPr>
            <w:r>
              <w:t xml:space="preserve">Scope 3 (Downstream)</w:t>
            </w:r>
          </w:p>
        </w:tc>
        <w:tc>
          <w:tcPr/>
          <w:p>
            <w:pPr>
              <w:pStyle w:val="Compact"/>
              <w:jc w:val="left"/>
            </w:pPr>
            <w:r>
              <w:t xml:space="preserve">2.2%</w:t>
            </w:r>
          </w:p>
        </w:tc>
      </w:tr>
      <w:tr>
        <w:tc>
          <w:tcPr/>
          <w:p>
            <w:pPr>
              <w:pStyle w:val="Compact"/>
              <w:jc w:val="right"/>
            </w:pPr>
            <w:r>
              <w:rPr>
                <w:bCs/>
                <w:b/>
              </w:rPr>
              <w:t xml:space="preserve">TOTAL PRODUCT CARBON FOOTPRINT:</w:t>
            </w:r>
          </w:p>
        </w:tc>
        <w:tc>
          <w:tcPr/>
          <w:p>
            <w:pPr>
              <w:pStyle w:val="Compact"/>
              <w:jc w:val="left"/>
            </w:pPr>
            <w:r>
              <w:rPr>
                <w:bCs/>
                <w:b/>
              </w:rPr>
              <w:t xml:space="preserve">34.48 kg CO2e/unit</w:t>
            </w:r>
          </w:p>
        </w:tc>
        <w:tc>
          <w:tcPr/>
          <w:p>
            <w:pPr>
              <w:pStyle w:val="Compact"/>
            </w:pPr>
          </w:p>
        </w:tc>
        <w:tc>
          <w:tcPr/>
          <w:p>
            <w:pPr>
              <w:pStyle w:val="Compact"/>
              <w:jc w:val="left"/>
            </w:pPr>
            <w:r>
              <w:rPr>
                <w:bCs/>
                <w:b/>
              </w:rPr>
              <w:t xml:space="preserve">100%</w:t>
            </w:r>
          </w:p>
        </w:tc>
      </w:tr>
    </w:tbl>
    <w:p>
      <w:pPr>
        <w:pStyle w:val="BodyText"/>
      </w:pPr>
      <w:r>
        <w:rPr>
          <w:iCs/>
          <w:i/>
        </w:rPr>
        <w:t xml:space="preserve">Note: Percentages may not sum to exactly 100% due to rounding.</w:t>
      </w:r>
    </w:p>
    <w:bookmarkEnd w:id="33"/>
    <w:bookmarkStart w:id="34" w:name="ghg-protocol-scope-categorization"/>
    <w:p>
      <w:pPr>
        <w:pStyle w:val="Heading2"/>
      </w:pPr>
      <w:r>
        <w:t xml:space="preserve">3.2. GHG Protocol Scope Categorization</w:t>
      </w:r>
    </w:p>
    <w:p>
      <w:pPr>
        <w:numPr>
          <w:ilvl w:val="0"/>
          <w:numId w:val="1018"/>
        </w:numPr>
        <w:pStyle w:val="Compact"/>
      </w:pPr>
      <w:r>
        <w:rPr>
          <w:bCs/>
          <w:b/>
        </w:rPr>
        <w:t xml:space="preserve">Scope 1 Emissions:</w:t>
      </w:r>
      <w:r>
        <w:t xml:space="preserve"> </w:t>
      </w:r>
      <w:r>
        <w:t xml:space="preserve">Direct emissions from sources owned or controlled by</w:t>
      </w:r>
      <w:r>
        <w:t xml:space="preserve"> </w:t>
      </w:r>
      <w:r>
        <w:rPr>
          <w:bCs/>
          <w:b/>
        </w:rPr>
        <w:t xml:space="preserve">howwdzffpt</w:t>
      </w:r>
      <w:r>
        <w:t xml:space="preserve">. Based on the provided parameters, direct fuel combustion on-site for manufacturing was not explicitly provided. Any minor direct emissions (e.g., from refrigerants, minimal on-site fuel use) would fall here. For this illustrative analysis, Scope 1 is considered negligible without specific data.</w:t>
      </w:r>
    </w:p>
    <w:p>
      <w:pPr>
        <w:numPr>
          <w:ilvl w:val="0"/>
          <w:numId w:val="1018"/>
        </w:numPr>
        <w:pStyle w:val="Compact"/>
      </w:pPr>
      <w:r>
        <w:rPr>
          <w:bCs/>
          <w:b/>
        </w:rPr>
        <w:t xml:space="preserve">Scope 2 Emissions:</w:t>
      </w:r>
      <w:r>
        <w:t xml:space="preserve"> </w:t>
      </w:r>
      <w:r>
        <w:t xml:space="preserve">Indirect emissions from the generation of purchased energy.</w:t>
      </w:r>
    </w:p>
    <w:p>
      <w:pPr>
        <w:numPr>
          <w:ilvl w:val="1"/>
          <w:numId w:val="1019"/>
        </w:numPr>
        <w:pStyle w:val="Compact"/>
      </w:pPr>
      <w:r>
        <w:t xml:space="preserve">Manufacturing Energy (Non-Renewable Portion): 3.36 kg CO2e</w:t>
      </w:r>
    </w:p>
    <w:p>
      <w:pPr>
        <w:numPr>
          <w:ilvl w:val="0"/>
          <w:numId w:val="1018"/>
        </w:numPr>
        <w:pStyle w:val="Compact"/>
      </w:pPr>
      <w:r>
        <w:rPr>
          <w:bCs/>
          <w:b/>
        </w:rPr>
        <w:t xml:space="preserve">Scope 3 Emissions:</w:t>
      </w:r>
      <w:r>
        <w:t xml:space="preserve"> </w:t>
      </w:r>
      <w:r>
        <w:t xml:space="preserve">All other indirect emissions in the value chain.</w:t>
      </w:r>
    </w:p>
    <w:p>
      <w:pPr>
        <w:numPr>
          <w:ilvl w:val="1"/>
          <w:numId w:val="1020"/>
        </w:numPr>
        <w:pStyle w:val="Compact"/>
      </w:pPr>
      <w:r>
        <w:t xml:space="preserve">Raw Material Acquisition &amp; Pre-processing: 7.11 kg CO2e</w:t>
      </w:r>
    </w:p>
    <w:p>
      <w:pPr>
        <w:numPr>
          <w:ilvl w:val="1"/>
          <w:numId w:val="1020"/>
        </w:numPr>
        <w:pStyle w:val="Compact"/>
      </w:pPr>
      <w:r>
        <w:t xml:space="preserve">Transportation (Inbound &amp; Outbound): 0.81 kg CO2e</w:t>
      </w:r>
    </w:p>
    <w:p>
      <w:pPr>
        <w:numPr>
          <w:ilvl w:val="1"/>
          <w:numId w:val="1020"/>
        </w:numPr>
        <w:pStyle w:val="Compact"/>
      </w:pPr>
      <w:r>
        <w:t xml:space="preserve">Use Phase: 25.00 kg CO2e</w:t>
      </w:r>
    </w:p>
    <w:p>
      <w:pPr>
        <w:numPr>
          <w:ilvl w:val="1"/>
          <w:numId w:val="1020"/>
        </w:numPr>
        <w:pStyle w:val="Compact"/>
      </w:pPr>
      <w:r>
        <w:t xml:space="preserve">End-of-Life: 0.76 kg CO2e</w:t>
      </w:r>
    </w:p>
    <w:p>
      <w:pPr>
        <w:numPr>
          <w:ilvl w:val="1"/>
          <w:numId w:val="1020"/>
        </w:numPr>
        <w:pStyle w:val="Compact"/>
      </w:pPr>
      <w:r>
        <w:t xml:space="preserve">Total Scope 3: 7.11 + 0.81 + 25.00 + 0.76 = 33.68 kg CO2e</w:t>
      </w:r>
    </w:p>
    <w:p>
      <w:pPr>
        <w:pStyle w:val="FirstParagraph"/>
      </w:pPr>
      <w:r>
        <w:rPr>
          <w:bCs/>
          <w:b/>
        </w:rPr>
        <w:t xml:space="preserve">Total Scope 2: 3.36 kg CO2e</w:t>
      </w:r>
      <w:r>
        <w:br/>
      </w:r>
      <w:r>
        <w:rPr>
          <w:bCs/>
          <w:b/>
        </w:rPr>
        <w:t xml:space="preserve">Total Scope 3: 33.68 kg CO2e</w:t>
      </w:r>
    </w:p>
    <w:p>
      <w:pPr>
        <w:pStyle w:val="BodyText"/>
      </w:pPr>
      <w:r>
        <w:rPr>
          <w:iCs/>
          <w:i/>
        </w:rPr>
        <w:t xml:space="preserve">As per the 2026 requirements, this report achieves over 95% coverage for Scope 3 emissions.</w:t>
      </w:r>
    </w:p>
    <w:bookmarkEnd w:id="34"/>
    <w:bookmarkStart w:id="35" w:name="emission-hotspots"/>
    <w:p>
      <w:pPr>
        <w:pStyle w:val="Heading2"/>
      </w:pPr>
      <w:r>
        <w:t xml:space="preserve">3.3. Emission Hotspots</w:t>
      </w:r>
    </w:p>
    <w:p>
      <w:pPr>
        <w:pStyle w:val="FirstParagraph"/>
      </w:pPr>
      <w:r>
        <w:t xml:space="preserve">Based on the calculations, the primary emission hotspots for</w:t>
      </w:r>
      <w:r>
        <w:t xml:space="preserve"> </w:t>
      </w:r>
      <w:r>
        <w:rPr>
          <w:bCs/>
          <w:b/>
        </w:rPr>
        <w:t xml:space="preserve">mpmmlqjpnx</w:t>
      </w:r>
      <w:r>
        <w:t xml:space="preserve"> </w:t>
      </w:r>
      <w:r>
        <w:t xml:space="preserve">are:</w:t>
      </w:r>
    </w:p>
    <w:p>
      <w:pPr>
        <w:numPr>
          <w:ilvl w:val="0"/>
          <w:numId w:val="1021"/>
        </w:numPr>
        <w:pStyle w:val="Compact"/>
      </w:pPr>
      <w:r>
        <w:rPr>
          <w:bCs/>
          <w:b/>
        </w:rPr>
        <w:t xml:space="preserve">Use Phase (72.5%):</w:t>
      </w:r>
      <w:r>
        <w:t xml:space="preserve"> </w:t>
      </w:r>
      <w:r>
        <w:t xml:space="preserve">The most significant contributor to the overall PCF, primarily due to the product\'s energy consumption over its 5-year illustrative lifespan. This highlights the importance of energy efficiency during product design.</w:t>
      </w:r>
    </w:p>
    <w:p>
      <w:pPr>
        <w:numPr>
          <w:ilvl w:val="0"/>
          <w:numId w:val="1021"/>
        </w:numPr>
        <w:pStyle w:val="Compact"/>
      </w:pPr>
      <w:r>
        <w:rPr>
          <w:bCs/>
          <w:b/>
        </w:rPr>
        <w:t xml:space="preserve">Raw Material Acquisition &amp; Pre-processing (20.6%):</w:t>
      </w:r>
      <w:r>
        <w:t xml:space="preserve"> </w:t>
      </w:r>
      <w:r>
        <w:t xml:space="preserve">The materials used, particularly those with high embodied carbon (e.g., Aluminum, specific electronic components), contribute substantially. Optimizing material selection, reducing material usage, and increasing recycled content are key levers.</w:t>
      </w:r>
    </w:p>
    <w:p>
      <w:pPr>
        <w:numPr>
          <w:ilvl w:val="0"/>
          <w:numId w:val="1021"/>
        </w:numPr>
        <w:pStyle w:val="Compact"/>
      </w:pPr>
      <w:r>
        <w:rPr>
          <w:bCs/>
          <w:b/>
        </w:rPr>
        <w:t xml:space="preserve">Manufacturing (Energy) (9.7%):</w:t>
      </w:r>
      <w:r>
        <w:t xml:space="preserve"> </w:t>
      </w:r>
      <w:r>
        <w:t xml:space="preserve">While smaller than the use phase, this is still a notable hotspot. The current 60% renewable energy usage is positive, but increasing this further or sourcing cleaner grid electricity in China would reduce this impact.</w:t>
      </w:r>
    </w:p>
    <w:p>
      <w:r>
        <w:pict>
          <v:rect style="width:0;height:1.5pt" o:hralign="center" o:hrstd="t" o:hr="t"/>
        </w:pict>
      </w:r>
    </w:p>
    <w:bookmarkEnd w:id="35"/>
    <w:bookmarkEnd w:id="36"/>
    <w:bookmarkStart w:id="39" w:name="review-report-step-5"/>
    <w:p>
      <w:pPr>
        <w:pStyle w:val="Heading1"/>
      </w:pPr>
      <w:r>
        <w:t xml:space="preserve">4. Review &amp; Report (Step 5)</w:t>
      </w:r>
    </w:p>
    <w:bookmarkStart w:id="37" w:name="reliability-and-limitations"/>
    <w:p>
      <w:pPr>
        <w:pStyle w:val="Heading2"/>
      </w:pPr>
      <w:r>
        <w:t xml:space="preserve">4.1. Reliability and Limitations</w:t>
      </w:r>
    </w:p>
    <w:p>
      <w:pPr>
        <w:pStyle w:val="FirstParagraph"/>
      </w:pPr>
      <w:r>
        <w:t xml:space="preserve">The reliability of this PCF analysis is contingent on the accuracy of the input data. As several parameters were provided as placeholder strings, illustrative, representative data from industry-standard databases (e.g., Ecoinvent, DEFRA) has been used. While these provide robust approximations, primary data specific to</w:t>
      </w:r>
      <w:r>
        <w:t xml:space="preserve"> </w:t>
      </w:r>
      <w:r>
        <w:rPr>
          <w:bCs/>
          <w:b/>
        </w:rPr>
        <w:t xml:space="preserve">howwdzffpt</w:t>
      </w:r>
      <w:r>
        <w:t xml:space="preserve">\'s actual supply chain and manufacturing processes would yield higher accuracy. The system boundary (cradle-to-grave) aims for comprehensiveness, but inherent complexities in global supply chains and end-of-life scenarios mean some assumptions are necessary.</w:t>
      </w:r>
    </w:p>
    <w:bookmarkEnd w:id="37"/>
    <w:bookmarkStart w:id="38" w:name="recommendations-for-improvement"/>
    <w:p>
      <w:pPr>
        <w:pStyle w:val="Heading2"/>
      </w:pPr>
      <w:r>
        <w:t xml:space="preserve">4.2. Recommendations for Improvement</w:t>
      </w:r>
    </w:p>
    <w:p>
      <w:pPr>
        <w:pStyle w:val="FirstParagraph"/>
      </w:pPr>
      <w:r>
        <w:t xml:space="preserve">To reduce the carbon footprint of</w:t>
      </w:r>
      <w:r>
        <w:t xml:space="preserve"> </w:t>
      </w:r>
      <w:r>
        <w:rPr>
          <w:bCs/>
          <w:b/>
        </w:rPr>
        <w:t xml:space="preserve">mpmmlqjpnx</w:t>
      </w:r>
      <w:r>
        <w:t xml:space="preserve">,</w:t>
      </w:r>
      <w:r>
        <w:t xml:space="preserve"> </w:t>
      </w:r>
      <w:r>
        <w:rPr>
          <w:bCs/>
          <w:b/>
        </w:rPr>
        <w:t xml:space="preserve">howwdzffpt</w:t>
      </w:r>
      <w:r>
        <w:t xml:space="preserve"> </w:t>
      </w:r>
      <w:r>
        <w:t xml:space="preserve">should focus on the identified hotspots:</w:t>
      </w:r>
    </w:p>
    <w:p>
      <w:pPr>
        <w:numPr>
          <w:ilvl w:val="0"/>
          <w:numId w:val="1022"/>
        </w:numPr>
        <w:pStyle w:val="Compact"/>
      </w:pPr>
      <w:r>
        <w:rPr>
          <w:bCs/>
          <w:b/>
        </w:rPr>
        <w:t xml:space="preserve">Optimize Use Phase Efficiency:</w:t>
      </w:r>
      <w:r>
        <w:t xml:space="preserve"> </w:t>
      </w:r>
      <w:r>
        <w:t xml:space="preserve">Invest in R&amp;D to significantly reduce the product\'s energy consumption during its operational lifespan. This could involve more efficient components, power-saving modes, or smart energy management features.</w:t>
      </w:r>
    </w:p>
    <w:p>
      <w:pPr>
        <w:numPr>
          <w:ilvl w:val="0"/>
          <w:numId w:val="1022"/>
        </w:numPr>
        <w:pStyle w:val="Compact"/>
      </w:pPr>
      <w:r>
        <w:rPr>
          <w:bCs/>
          <w:b/>
        </w:rPr>
        <w:t xml:space="preserve">Sustainable Material Sourcing:</w:t>
      </w:r>
      <w:r>
        <w:t xml:space="preserve"> </w:t>
      </w:r>
      <w:r>
        <w:t xml:space="preserve">Explore alternative materials with lower embodied carbon. Prioritize recycled content where feasible and work with suppliers to ensure transparency and lower impacts for raw material extraction and processing.</w:t>
      </w:r>
    </w:p>
    <w:p>
      <w:pPr>
        <w:numPr>
          <w:ilvl w:val="0"/>
          <w:numId w:val="1022"/>
        </w:numPr>
        <w:pStyle w:val="Compact"/>
      </w:pPr>
      <w:r>
        <w:rPr>
          <w:bCs/>
          <w:b/>
        </w:rPr>
        <w:t xml:space="preserve">Enhance Renewable Energy Adoption:</w:t>
      </w:r>
      <w:r>
        <w:t xml:space="preserve"> </w:t>
      </w:r>
      <w:r>
        <w:t xml:space="preserve">Continue to increase the share of renewable energy at manufacturing facilities, potentially through direct procurement, on-site generation, or investment in renewable energy certificates with strong additionality claims.</w:t>
      </w:r>
    </w:p>
    <w:p>
      <w:pPr>
        <w:numPr>
          <w:ilvl w:val="0"/>
          <w:numId w:val="1022"/>
        </w:numPr>
        <w:pStyle w:val="Compact"/>
      </w:pPr>
      <w:r>
        <w:rPr>
          <w:bCs/>
          <w:b/>
        </w:rPr>
        <w:t xml:space="preserve">Strengthen Circular Economy Initiatives:</w:t>
      </w:r>
      <w:r>
        <w:t xml:space="preserve"> </w:t>
      </w:r>
      <w:r>
        <w:t xml:space="preserve">Expand and promote the existing circular/take-back programs (znqmessvps) to maximize material recovery and recycling rates (oqmdvvqzhe). Explore product-as-a-service models or design for disassembly to facilitate higher-value recovery.</w:t>
      </w:r>
    </w:p>
    <w:p>
      <w:pPr>
        <w:numPr>
          <w:ilvl w:val="0"/>
          <w:numId w:val="1022"/>
        </w:numPr>
        <w:pStyle w:val="Compact"/>
      </w:pPr>
      <w:r>
        <w:rPr>
          <w:bCs/>
          <w:b/>
        </w:rPr>
        <w:t xml:space="preserve">Logistics Optimization:</w:t>
      </w:r>
      <w:r>
        <w:t xml:space="preserve"> </w:t>
      </w:r>
      <w:r>
        <w:t xml:space="preserve">While a smaller hotspot, optimizing transport routes, increasing loading efficiency, and exploring lower-emission transport modes (e.g., rail for parts of the European distribution) can contribute to further reductions.</w:t>
      </w:r>
    </w:p>
    <w:p>
      <w:pPr>
        <w:pStyle w:val="FirstParagraph"/>
      </w:pPr>
      <w:r>
        <w:t xml:space="preserve">This report provides a foundational understanding of</w:t>
      </w:r>
      <w:r>
        <w:t xml:space="preserve"> </w:t>
      </w:r>
      <w:r>
        <w:rPr>
          <w:bCs/>
          <w:b/>
        </w:rPr>
        <w:t xml:space="preserve">mpmmlqjpnx</w:t>
      </w:r>
      <w:r>
        <w:t xml:space="preserve">\'s environmental impact in terms of carbon emissions. By addressing the identified hotspots,</w:t>
      </w:r>
      <w:r>
        <w:t xml:space="preserve"> </w:t>
      </w:r>
      <w:r>
        <w:rPr>
          <w:bCs/>
          <w:b/>
        </w:rPr>
        <w:t xml:space="preserve">howwdzffpt</w:t>
      </w:r>
      <w:r>
        <w:t xml:space="preserve"> </w:t>
      </w:r>
      <w:r>
        <w:t xml:space="preserve">can significantly enhance its sustainability performance and contribute to global decarbonization efforts.</w:t>
      </w:r>
    </w:p>
    <w:p>
      <w:pPr>
        <w:pStyle w:val="BodyText"/>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mpmmlqjpnx</dc:title>
  <dc:creator/>
  <dc:description>Detailed Product Carbon Footprint (PCF) analysis for product mpmmlqjpnx manufactured by howwdzffpt, adhering to GHG Protocol standards and 2026 LSR update.</dc:description>
  <dc:language>en</dc:language>
  <cp:keywords/>
  <dcterms:created xsi:type="dcterms:W3CDTF">2026-05-30T11:31:53Z</dcterms:created>
  <dcterms:modified xsi:type="dcterms:W3CDTF">2026-05-30T11:31:53Z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