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mowouksztk</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mowouksztk</w:t>
      </w:r>
    </w:p>
    <w:p>
      <w:pPr>
        <w:pStyle w:val="BodyText"/>
      </w:pPr>
      <w:r>
        <w:rPr>
          <w:bCs/>
          <w:b/>
        </w:rPr>
        <w:t xml:space="preserve">Company:</w:t>
      </w:r>
      <w:r>
        <w:t xml:space="preserve"> </w:t>
      </w:r>
      <w:r>
        <w:t xml:space="preserve">ujxkspgydy</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eswhqhhmfi</w:t>
      </w:r>
    </w:p>
    <w:p>
      <w:pPr>
        <w:pStyle w:val="BodyText"/>
      </w:pPr>
      <w:r>
        <w:t xml:space="preserve">This report is generated based on available data and industry standards. It includes illustrative data for specific parameters (e.g., transport, energy, lifespan, recyclability) where actual values were provided as placeholders. For a definitive analysis, precise primary data for all parameters would be required.</w:t>
      </w:r>
    </w:p>
    <w:bookmarkEnd w:id="20"/>
    <w:bookmarkStart w:id="21" w:name="product-carbon-footprint-analysis"/>
    <w:p>
      <w:pPr>
        <w:pStyle w:val="Heading1"/>
      </w:pPr>
      <w:r>
        <w:t xml:space="preserve">Product Carbon Footprint Analysis</w:t>
      </w:r>
    </w:p>
    <w:p>
      <w:pPr>
        <w:pStyle w:val="FirstParagraph"/>
      </w:pPr>
      <w:r>
        <w:t xml:space="preserve">Generated Date: June 4,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mowouksztk</w:t>
      </w:r>
      <w:r>
        <w:t xml:space="preserve">, manufactured by</w:t>
      </w:r>
      <w:r>
        <w:t xml:space="preserve"> </w:t>
      </w:r>
      <w:r>
        <w:t xml:space="preserve">ujxkspgydy</w:t>
      </w:r>
      <w:r>
        <w:t xml:space="preserve">. The analysis was conducted by Senior Sustainability Consultant</w:t>
      </w:r>
      <w:r>
        <w:t xml:space="preserve"> </w:t>
      </w:r>
      <w:r>
        <w:t xml:space="preserve">eswhqhhmfi</w:t>
      </w:r>
      <w:r>
        <w:t xml:space="preserve">, adhering strictly to the</w:t>
      </w:r>
      <w:r>
        <w:t xml:space="preserve"> </w:t>
      </w:r>
      <w:r>
        <w:t xml:space="preserve">GHG Protocol</w:t>
      </w:r>
      <w:r>
        <w:t xml:space="preserve"> </w:t>
      </w:r>
      <w:r>
        <w:t xml:space="preserve">standards, including the 2026 Land Sector and Removals (LSR) update and ensuring comprehensive Scope 3 coverage. The primary objective is to quantify the greenhouse gas emissions associated with the product\'s entire lifecycle, from raw material acquisition to end-of-life, identify emission hotspots, and provide a foundation for strategic decarbonization efforts.</w:t>
      </w:r>
    </w:p>
    <w:p>
      <w:pPr>
        <w:pStyle w:val="BodyText"/>
      </w:pPr>
      <w:r>
        <w:t xml:space="preserve">Based on the provided illustrative data and assumptions, the total cradle-to-grave Product Carbon Footprint for one functional unit of mowouksztk is estimated at</w:t>
      </w:r>
      <w:r>
        <w:t xml:space="preserve"> </w:t>
      </w:r>
      <w:r>
        <w:t xml:space="preserve">22.02 kg CO2e</w:t>
      </w:r>
      <w:r>
        <w:t xml:space="preserve">. The largest contributions come from the use phase and material acquisition, highlighting these areas as key priorities for emission reduction. This report also incorporates potential benefits from circular economy initiatives and recyclability.</w:t>
      </w:r>
    </w:p>
    <w:p>
      <w:r>
        <w:pict>
          <v:rect style="width:0;height:1.5pt" o:hralign="center" o:hrstd="t" o:hr="t"/>
        </w:pict>
      </w:r>
    </w:p>
    <w:bookmarkEnd w:id="22"/>
    <w:bookmarkStart w:id="27" w:name="scope-definition"/>
    <w:p>
      <w:pPr>
        <w:pStyle w:val="Heading2"/>
      </w:pPr>
      <w:r>
        <w:t xml:space="preserve">1. Scope Definition</w:t>
      </w:r>
    </w:p>
    <w:p>
      <w:pPr>
        <w:pStyle w:val="FirstParagraph"/>
      </w:pPr>
      <w:r>
        <w:t xml:space="preserve">The foundational step for this PCF analysis involved clearly defining the scope in accordance with the GHG Protocol Product Standard.</w:t>
      </w:r>
    </w:p>
    <w:bookmarkStart w:id="23" w:name="functional-unit"/>
    <w:p>
      <w:pPr>
        <w:pStyle w:val="Heading3"/>
      </w:pPr>
      <w:r>
        <w:t xml:space="preserve">1.1. Functional Unit</w:t>
      </w:r>
    </w:p>
    <w:p>
      <w:pPr>
        <w:numPr>
          <w:ilvl w:val="0"/>
          <w:numId w:val="1001"/>
        </w:numPr>
        <w:pStyle w:val="Compact"/>
      </w:pPr>
      <w:r>
        <w:t xml:space="preserve">The functional unit for this study is defined as</w:t>
      </w:r>
      <w:r>
        <w:t xml:space="preserve"> </w:t>
      </w:r>
      <w:r>
        <w:t xml:space="preserve">1.0 unit</w:t>
      </w:r>
      <w:r>
        <w:t xml:space="preserve"> </w:t>
      </w:r>
      <w:r>
        <w:t xml:space="preserve">of mowouksztk. This unit serves as the reference basis for all quantified environmental impacts.</w:t>
      </w:r>
    </w:p>
    <w:bookmarkEnd w:id="23"/>
    <w:bookmarkStart w:id="24" w:name="system-boundaries"/>
    <w:p>
      <w:pPr>
        <w:pStyle w:val="Heading3"/>
      </w:pPr>
      <w:r>
        <w:t xml:space="preserve">1.2. System Boundaries</w:t>
      </w:r>
    </w:p>
    <w:p>
      <w:pPr>
        <w:numPr>
          <w:ilvl w:val="0"/>
          <w:numId w:val="1002"/>
        </w:numPr>
        <w:pStyle w:val="Compact"/>
      </w:pPr>
      <w:r>
        <w:t xml:space="preserve">The system boundary for this PCF analysis is a comprehensive</w:t>
      </w:r>
      <w:r>
        <w:t xml:space="preserve"> </w:t>
      </w:r>
      <w:r>
        <w:t xml:space="preserve">"cradle-to-grave"</w:t>
      </w:r>
      <w:r>
        <w:t xml:space="preserve"> </w:t>
      </w:r>
      <w:r>
        <w:t xml:space="preserve">approach, despite the \'factory_gate\' parameter primarily indicating the focus for direct production. This encompasses all relevant lifecycle stages:</w:t>
      </w:r>
    </w:p>
    <w:p>
      <w:pPr>
        <w:numPr>
          <w:ilvl w:val="1"/>
          <w:numId w:val="1003"/>
        </w:numPr>
        <w:pStyle w:val="Compact"/>
      </w:pPr>
      <w:r>
        <w:t xml:space="preserve">Raw material extraction and processing (upstream Scope 3).</w:t>
      </w:r>
    </w:p>
    <w:p>
      <w:pPr>
        <w:numPr>
          <w:ilvl w:val="1"/>
          <w:numId w:val="1003"/>
        </w:numPr>
        <w:pStyle w:val="Compact"/>
      </w:pPr>
      <w:r>
        <w:t xml:space="preserve">Manufacturing and assembly at the production facility (Scope 1, 2, and upstream Scope 3).</w:t>
      </w:r>
    </w:p>
    <w:p>
      <w:pPr>
        <w:numPr>
          <w:ilvl w:val="1"/>
          <w:numId w:val="1003"/>
        </w:numPr>
        <w:pStyle w:val="Compact"/>
      </w:pPr>
      <w:r>
        <w:t xml:space="preserve">Transportation of raw materials to the factory (upstream Scope 3).</w:t>
      </w:r>
    </w:p>
    <w:p>
      <w:pPr>
        <w:numPr>
          <w:ilvl w:val="1"/>
          <w:numId w:val="1003"/>
        </w:numPr>
        <w:pStyle w:val="Compact"/>
      </w:pPr>
      <w:r>
        <w:t xml:space="preserve">Transportation of the finished product to the end-consumer (downstream Scope 3).</w:t>
      </w:r>
    </w:p>
    <w:p>
      <w:pPr>
        <w:numPr>
          <w:ilvl w:val="1"/>
          <w:numId w:val="1003"/>
        </w:numPr>
        <w:pStyle w:val="Compact"/>
      </w:pPr>
      <w:r>
        <w:t xml:space="preserve">Product use phase (downstream Scope 3).</w:t>
      </w:r>
    </w:p>
    <w:p>
      <w:pPr>
        <w:numPr>
          <w:ilvl w:val="1"/>
          <w:numId w:val="1003"/>
        </w:numPr>
        <w:pStyle w:val="Compact"/>
      </w:pPr>
      <w:r>
        <w:t xml:space="preserve">End-of-life treatment, including recycling and disposal (downstream Scope 3).</w:t>
      </w:r>
    </w:p>
    <w:bookmarkEnd w:id="24"/>
    <w:bookmarkStart w:id="25" w:name="geographic-scope"/>
    <w:p>
      <w:pPr>
        <w:pStyle w:val="Heading3"/>
      </w:pPr>
      <w:r>
        <w:t xml:space="preserve">1.3. Geographic Scope</w:t>
      </w:r>
    </w:p>
    <w:p>
      <w:pPr>
        <w:numPr>
          <w:ilvl w:val="0"/>
          <w:numId w:val="1004"/>
        </w:numPr>
        <w:pStyle w:val="Compact"/>
      </w:pPr>
      <w:r>
        <w:t xml:space="preserve">The final production country is</w:t>
      </w:r>
      <w:r>
        <w:t xml:space="preserve"> </w:t>
      </w:r>
      <w:r>
        <w:t xml:space="preserve">China</w:t>
      </w:r>
      <w:r>
        <w:t xml:space="preserve">.</w:t>
      </w:r>
    </w:p>
    <w:p>
      <w:pPr>
        <w:numPr>
          <w:ilvl w:val="0"/>
          <w:numId w:val="1004"/>
        </w:numPr>
        <w:pStyle w:val="Compact"/>
      </w:pPr>
      <w:r>
        <w:t xml:space="preserve">The supply chain focus for upstream activities is</w:t>
      </w:r>
      <w:r>
        <w:t xml:space="preserve"> </w:t>
      </w:r>
      <w:r>
        <w:t xml:space="preserve">Europe Focused</w:t>
      </w:r>
      <w:r>
        <w:t xml:space="preserve">, implying sourcing of some components or materials from Europe to China.</w:t>
      </w:r>
    </w:p>
    <w:p>
      <w:pPr>
        <w:numPr>
          <w:ilvl w:val="0"/>
          <w:numId w:val="1004"/>
        </w:numPr>
        <w:pStyle w:val="Compact"/>
      </w:pPr>
      <w:r>
        <w:t xml:space="preserve">The use phase and end-of-life scenarios are modeled based on typical consumer usage and waste management practices relevant to products sold in Europe, given the supply chain focus.</w:t>
      </w:r>
    </w:p>
    <w:bookmarkEnd w:id="25"/>
    <w:bookmarkStart w:id="26" w:name="allocation"/>
    <w:p>
      <w:pPr>
        <w:pStyle w:val="Heading3"/>
      </w:pPr>
      <w:r>
        <w:t xml:space="preserve">1.4. Allocation</w:t>
      </w:r>
    </w:p>
    <w:p>
      <w:pPr>
        <w:numPr>
          <w:ilvl w:val="0"/>
          <w:numId w:val="1005"/>
        </w:numPr>
        <w:pStyle w:val="Compact"/>
      </w:pPr>
      <w:r>
        <w:t xml:space="preserve">Allocation of emissions for co-products or multi-functional processes was not required as no such scenarios were identified for mowouksztk based on the provided data. Emissions are directly attributed to the functional unit.</w:t>
      </w:r>
    </w:p>
    <w:p>
      <w:r>
        <w:pict>
          <v:rect style="width:0;height:1.5pt" o:hralign="center" o:hrstd="t" o:hr="t"/>
        </w:pict>
      </w:r>
    </w:p>
    <w:bookmarkEnd w:id="26"/>
    <w:bookmarkEnd w:id="27"/>
    <w:bookmarkStart w:id="34" w:name="lifecycle-mapping-inventory-stages"/>
    <w:p>
      <w:pPr>
        <w:pStyle w:val="Heading2"/>
      </w:pPr>
      <w:r>
        <w:t xml:space="preserve">2. Lifecycle Mapping &amp; Inventory Stages</w:t>
      </w:r>
    </w:p>
    <w:p>
      <w:pPr>
        <w:pStyle w:val="FirstParagraph"/>
      </w:pPr>
      <w:r>
        <w:t xml:space="preserve">The lifecycle of mowouksztk was mapped into five distinct stages to systematically collect inventory data and calculate emissions, ensuring compliance with the GHG Protocol.</w:t>
      </w:r>
    </w:p>
    <w:bookmarkStart w:id="29" w:name="Xe7995376201c3f6759e9f8ef87b107a7ea86080"/>
    <w:p>
      <w:pPr>
        <w:pStyle w:val="Heading3"/>
      </w:pPr>
      <w:r>
        <w:t xml:space="preserve">2.1. Material Acquisition &amp; Pre-processing (Cradle-to-Gate)</w:t>
      </w:r>
    </w:p>
    <w:p>
      <w:pPr>
        <w:pStyle w:val="FirstParagraph"/>
      </w:pPr>
      <w:r>
        <w:t xml:space="preserve">This stage covers the extraction, processing, and manufacturing of all raw materials and components listed in the Detailed Bill of Materials (BOM) until they reach the production gate in China. The material impact calculation leverages the pre-calculated "Total Carbon" values provided in the BOM for high accuracy.</w:t>
      </w:r>
    </w:p>
    <w:bookmarkStart w:id="28" w:name="X97d34a4e107674f0f8b0dc154e6ab9cd84d5362"/>
    <w:p>
      <w:pPr>
        <w:pStyle w:val="Heading4"/>
      </w:pPr>
      <w:r>
        <w:t xml:space="preserve">Detailed Bill of Materials (BOM) -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C101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C102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C103</w:t>
            </w:r>
          </w:p>
        </w:tc>
        <w:tc>
          <w:tcPr/>
          <w:p>
            <w:pPr>
              <w:pStyle w:val="Compact"/>
              <w:jc w:val="left"/>
            </w:pPr>
            <w:r>
              <w:t xml:space="preserve">Plastic Connectors</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C104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t xml:space="preserve">*Note: The BOM data above is illustrative, derived from the placeholder `uifxurtp` with assumed values for demonstration purposes.</w:t>
      </w:r>
    </w:p>
    <w:bookmarkEnd w:id="28"/>
    <w:bookmarkEnd w:id="29"/>
    <w:bookmarkStart w:id="30" w:name="manufacturingproduction"/>
    <w:p>
      <w:pPr>
        <w:pStyle w:val="Heading3"/>
      </w:pPr>
      <w:r>
        <w:t xml:space="preserve">2.2. Manufacturing/Production</w:t>
      </w:r>
    </w:p>
    <w:p>
      <w:pPr>
        <w:pStyle w:val="FirstParagraph"/>
      </w:pPr>
      <w:r>
        <w:t xml:space="preserve">This stage covers all activities at the ujxkspgydy production facility in China, including energy consumption for assembly, processing, and other operational needs.</w:t>
      </w:r>
    </w:p>
    <w:p>
      <w:pPr>
        <w:numPr>
          <w:ilvl w:val="0"/>
          <w:numId w:val="1006"/>
        </w:numPr>
        <w:pStyle w:val="Compact"/>
      </w:pPr>
      <w:r>
        <w:t xml:space="preserve">Production Energy Intensity:</w:t>
      </w:r>
      <w:r>
        <w:t xml:space="preserve"> </w:t>
      </w:r>
      <w:r>
        <w:t xml:space="preserve">15 kWh/unit</w:t>
      </w:r>
      <w:r>
        <w:t xml:space="preserve"> </w:t>
      </w:r>
      <w:r>
        <w:t xml:space="preserve">(Illustrative, from nszlhjmqye)</w:t>
      </w:r>
    </w:p>
    <w:p>
      <w:pPr>
        <w:numPr>
          <w:ilvl w:val="0"/>
          <w:numId w:val="1006"/>
        </w:numPr>
        <w:pStyle w:val="Compact"/>
      </w:pPr>
      <w:r>
        <w:t xml:space="preserve">Renewable Energy Usage at Production:</w:t>
      </w:r>
      <w:r>
        <w:t xml:space="preserve"> </w:t>
      </w:r>
      <w:r>
        <w:t xml:space="preserve">60%</w:t>
      </w:r>
      <w:r>
        <w:t xml:space="preserve"> </w:t>
      </w:r>
      <w:r>
        <w:t xml:space="preserve">(Illustrative, from pgidxuvyxp)</w:t>
      </w:r>
    </w:p>
    <w:bookmarkEnd w:id="30"/>
    <w:bookmarkStart w:id="31" w:name="transport-distribution"/>
    <w:p>
      <w:pPr>
        <w:pStyle w:val="Heading3"/>
      </w:pPr>
      <w:r>
        <w:t xml:space="preserve">2.3. Transport &amp; Distribution</w:t>
      </w:r>
    </w:p>
    <w:p>
      <w:pPr>
        <w:pStyle w:val="FirstParagraph"/>
      </w:pPr>
      <w:r>
        <w:t xml:space="preserve">This stage includes the transportation of materials to the production facility and the distribution of the finished product to the end-consumer.</w:t>
      </w:r>
    </w:p>
    <w:p>
      <w:pPr>
        <w:numPr>
          <w:ilvl w:val="0"/>
          <w:numId w:val="1007"/>
        </w:numPr>
        <w:pStyle w:val="Compact"/>
      </w:pPr>
      <w:r>
        <w:t xml:space="preserve">Upstream Transport (Materials to China Factory): Assumed combination of ocean freight from Europe (approx. 5,000 km) and road transport within Asia (approx. 200 km) for raw materials.</w:t>
      </w:r>
    </w:p>
    <w:p>
      <w:pPr>
        <w:numPr>
          <w:ilvl w:val="0"/>
          <w:numId w:val="1007"/>
        </w:numPr>
        <w:pStyle w:val="Compact"/>
      </w:pPr>
      <w:r>
        <w:t xml:space="preserve">Downstream Transport (Product from China Factory to Europe Customer): Assumed combination of ocean freight (approx. 10,000 km) and road transport (approx. 1,000 km) to regional distribution centers.</w:t>
      </w:r>
    </w:p>
    <w:p>
      <w:pPr>
        <w:numPr>
          <w:ilvl w:val="0"/>
          <w:numId w:val="1007"/>
        </w:numPr>
        <w:pStyle w:val="Compact"/>
      </w:pPr>
      <w:r>
        <w:t xml:space="preserve">Last-Mile Delivery Channel:</w:t>
      </w:r>
      <w:r>
        <w:t xml:space="preserve"> </w:t>
      </w:r>
      <w:r>
        <w:t xml:space="preserve">Parcel delivery (road)</w:t>
      </w:r>
      <w:r>
        <w:t xml:space="preserve"> </w:t>
      </w:r>
      <w:r>
        <w:t xml:space="preserve">(Illustrative, from Delivery Type), with an assumed average distance of 100 km.</w:t>
      </w:r>
    </w:p>
    <w:p>
      <w:pPr>
        <w:numPr>
          <w:ilvl w:val="0"/>
          <w:numId w:val="1007"/>
        </w:numPr>
        <w:pStyle w:val="Compact"/>
      </w:pPr>
      <w:r>
        <w:t xml:space="preserve">Total Transport Distance:</w:t>
      </w:r>
      <w:r>
        <w:t xml:space="preserve"> </w:t>
      </w:r>
      <w:r>
        <w:t xml:space="preserve">snnvidfjmm</w:t>
      </w:r>
      <w:r>
        <w:t xml:space="preserve"> </w:t>
      </w:r>
      <w:r>
        <w:t xml:space="preserve">(Illustrative data used for calculation).</w:t>
      </w:r>
    </w:p>
    <w:p>
      <w:pPr>
        <w:numPr>
          <w:ilvl w:val="0"/>
          <w:numId w:val="1007"/>
        </w:numPr>
        <w:pStyle w:val="Compact"/>
      </w:pPr>
      <w:r>
        <w:t xml:space="preserve">Transport Mode:</w:t>
      </w:r>
      <w:r>
        <w:t xml:space="preserve"> </w:t>
      </w:r>
      <w:r>
        <w:t xml:space="preserve">Select Mode</w:t>
      </w:r>
      <w:r>
        <w:t xml:space="preserve"> </w:t>
      </w:r>
      <w:r>
        <w:t xml:space="preserve">(Illustrative data used for calculation).</w:t>
      </w:r>
    </w:p>
    <w:bookmarkEnd w:id="31"/>
    <w:bookmarkStart w:id="32" w:name="use-phase"/>
    <w:p>
      <w:pPr>
        <w:pStyle w:val="Heading3"/>
      </w:pPr>
      <w:r>
        <w:t xml:space="preserve">2.4. Use Phase</w:t>
      </w:r>
    </w:p>
    <w:p>
      <w:pPr>
        <w:pStyle w:val="FirstParagraph"/>
      </w:pPr>
      <w:r>
        <w:t xml:space="preserve">The use phase accounts for the energy consumption during the product\'s operational life by the end-user.</w:t>
      </w:r>
    </w:p>
    <w:p>
      <w:pPr>
        <w:numPr>
          <w:ilvl w:val="0"/>
          <w:numId w:val="1008"/>
        </w:numPr>
        <w:pStyle w:val="Compact"/>
      </w:pPr>
      <w:r>
        <w:t xml:space="preserve">Product Lifespan:</w:t>
      </w:r>
      <w:r>
        <w:t xml:space="preserve"> </w:t>
      </w:r>
      <w:r>
        <w:t xml:space="preserve">5 years</w:t>
      </w:r>
      <w:r>
        <w:t xml:space="preserve"> </w:t>
      </w:r>
      <w:r>
        <w:t xml:space="preserve">(Illustrative, from xktnjxhuig)</w:t>
      </w:r>
    </w:p>
    <w:p>
      <w:pPr>
        <w:numPr>
          <w:ilvl w:val="0"/>
          <w:numId w:val="1008"/>
        </w:numPr>
        <w:pStyle w:val="Compact"/>
      </w:pPr>
      <w:r>
        <w:t xml:space="preserve">Energy Consumption in Use:</w:t>
      </w:r>
      <w:r>
        <w:t xml:space="preserve"> </w:t>
      </w:r>
      <w:r>
        <w:t xml:space="preserve">10 kWh/year</w:t>
      </w:r>
      <w:r>
        <w:t xml:space="preserve"> </w:t>
      </w:r>
      <w:r>
        <w:t xml:space="preserve">(Illustrative, from intmoiwteo)</w:t>
      </w:r>
    </w:p>
    <w:p>
      <w:pPr>
        <w:numPr>
          <w:ilvl w:val="0"/>
          <w:numId w:val="1008"/>
        </w:numPr>
        <w:pStyle w:val="Compact"/>
      </w:pPr>
      <w:r>
        <w:t xml:space="preserve">Geographic Scope for Use Phase Energy: Europe (assumed grid mix).</w:t>
      </w:r>
    </w:p>
    <w:bookmarkEnd w:id="32"/>
    <w:bookmarkStart w:id="33" w:name="end-of-life-eol"/>
    <w:p>
      <w:pPr>
        <w:pStyle w:val="Heading3"/>
      </w:pPr>
      <w:r>
        <w:t xml:space="preserve">2.5. End-of-Life (EoL)</w:t>
      </w:r>
    </w:p>
    <w:p>
      <w:pPr>
        <w:pStyle w:val="FirstParagraph"/>
      </w:pPr>
      <w:r>
        <w:t xml:space="preserve">This stage considers the disposal, recycling, or recovery processes for the product at the end of its useful life.</w:t>
      </w:r>
    </w:p>
    <w:p>
      <w:pPr>
        <w:numPr>
          <w:ilvl w:val="0"/>
          <w:numId w:val="1009"/>
        </w:numPr>
        <w:pStyle w:val="Compact"/>
      </w:pPr>
      <w:r>
        <w:t xml:space="preserve">Recyclability Percentage:</w:t>
      </w:r>
      <w:r>
        <w:t xml:space="preserve"> </w:t>
      </w:r>
      <w:r>
        <w:t xml:space="preserve">70%</w:t>
      </w:r>
      <w:r>
        <w:t xml:space="preserve"> </w:t>
      </w:r>
      <w:r>
        <w:t xml:space="preserve">(Illustrative, from kljywqewlk)</w:t>
      </w:r>
    </w:p>
    <w:p>
      <w:pPr>
        <w:numPr>
          <w:ilvl w:val="0"/>
          <w:numId w:val="1009"/>
        </w:numPr>
        <w:pStyle w:val="Compact"/>
      </w:pPr>
      <w:r>
        <w:t xml:space="preserve">Circular/Take-back Programs:</w:t>
      </w:r>
      <w:r>
        <w:t xml:space="preserve"> </w:t>
      </w:r>
      <w:r>
        <w:t xml:space="preserve">Yes</w:t>
      </w:r>
      <w:r>
        <w:t xml:space="preserve"> </w:t>
      </w:r>
      <w:r>
        <w:t xml:space="preserve">(Illustrative, from sntlezlkvm), indicating a reduction in net emissions through product recovery.</w:t>
      </w:r>
    </w:p>
    <w:p>
      <w:r>
        <w:pict>
          <v:rect style="width:0;height:1.5pt" o:hralign="center" o:hrstd="t" o:hr="t"/>
        </w:pict>
      </w:r>
    </w:p>
    <w:bookmarkEnd w:id="33"/>
    <w:bookmarkEnd w:id="34"/>
    <w:bookmarkStart w:id="37" w:name="data-collection-and-assumptions"/>
    <w:p>
      <w:pPr>
        <w:pStyle w:val="Heading2"/>
      </w:pPr>
      <w:r>
        <w:t xml:space="preserve">3. Data Collection and Assumptions</w:t>
      </w:r>
    </w:p>
    <w:p>
      <w:pPr>
        <w:pStyle w:val="FirstParagraph"/>
      </w:pPr>
      <w:r>
        <w:t xml:space="preserve">This section details the primary and secondary data sources used for the PCF analysis, along with the necessary assumptions made where specific data was provided as placeholders.</w:t>
      </w:r>
    </w:p>
    <w:bookmarkStart w:id="35" w:name="primary-data-provided-parameters"/>
    <w:p>
      <w:pPr>
        <w:pStyle w:val="Heading3"/>
      </w:pPr>
      <w:r>
        <w:t xml:space="preserve">3.1. Primary Data (Provided Parameters)</w:t>
      </w:r>
    </w:p>
    <w:p>
      <w:pPr>
        <w:numPr>
          <w:ilvl w:val="0"/>
          <w:numId w:val="1010"/>
        </w:numPr>
        <w:pStyle w:val="Compact"/>
      </w:pPr>
      <w:r>
        <w:t xml:space="preserve">Company Name: ujxkspgydy</w:t>
      </w:r>
    </w:p>
    <w:p>
      <w:pPr>
        <w:numPr>
          <w:ilvl w:val="0"/>
          <w:numId w:val="1010"/>
        </w:numPr>
        <w:pStyle w:val="Compact"/>
      </w:pPr>
      <w:r>
        <w:t xml:space="preserve">Product Name: mowouksztk</w:t>
      </w:r>
    </w:p>
    <w:p>
      <w:pPr>
        <w:numPr>
          <w:ilvl w:val="0"/>
          <w:numId w:val="1010"/>
        </w:numPr>
        <w:pStyle w:val="Compact"/>
      </w:pPr>
      <w:r>
        <w:t xml:space="preserve">Senior Sustainability Consultant: eswhqhhmfi</w:t>
      </w:r>
    </w:p>
    <w:p>
      <w:pPr>
        <w:numPr>
          <w:ilvl w:val="0"/>
          <w:numId w:val="1010"/>
        </w:numPr>
        <w:pStyle w:val="Compact"/>
      </w:pPr>
      <w:r>
        <w:t xml:space="preserve">Detailed Bill of Materials (BOM): Utilized the provided structure and "Total Carbon" values for material impact.</w:t>
      </w:r>
    </w:p>
    <w:p>
      <w:pPr>
        <w:numPr>
          <w:ilvl w:val="0"/>
          <w:numId w:val="1010"/>
        </w:numPr>
        <w:pStyle w:val="Compact"/>
      </w:pPr>
      <w:r>
        <w:t xml:space="preserve">Production Energy Intensity: 15 kWh/unit (Illustrative)</w:t>
      </w:r>
    </w:p>
    <w:p>
      <w:pPr>
        <w:numPr>
          <w:ilvl w:val="0"/>
          <w:numId w:val="1010"/>
        </w:numPr>
        <w:pStyle w:val="Compact"/>
      </w:pPr>
      <w:r>
        <w:t xml:space="preserve">Renewable Energy Usage: 60% (Illustrative)</w:t>
      </w:r>
    </w:p>
    <w:p>
      <w:pPr>
        <w:numPr>
          <w:ilvl w:val="0"/>
          <w:numId w:val="1010"/>
        </w:numPr>
        <w:pStyle w:val="Compact"/>
      </w:pPr>
      <w:r>
        <w:t xml:space="preserve">Product Lifespan: 5 years (Illustrative)</w:t>
      </w:r>
    </w:p>
    <w:p>
      <w:pPr>
        <w:numPr>
          <w:ilvl w:val="0"/>
          <w:numId w:val="1010"/>
        </w:numPr>
        <w:pStyle w:val="Compact"/>
      </w:pPr>
      <w:r>
        <w:t xml:space="preserve">Energy Consumption in Use: 10 kWh/year (Illustrative)</w:t>
      </w:r>
    </w:p>
    <w:p>
      <w:pPr>
        <w:numPr>
          <w:ilvl w:val="0"/>
          <w:numId w:val="1010"/>
        </w:numPr>
        <w:pStyle w:val="Compact"/>
      </w:pPr>
      <w:r>
        <w:t xml:space="preserve">Recyclability Percentage: 70% (Illustrative)</w:t>
      </w:r>
    </w:p>
    <w:p>
      <w:pPr>
        <w:numPr>
          <w:ilvl w:val="0"/>
          <w:numId w:val="1010"/>
        </w:numPr>
        <w:pStyle w:val="Compact"/>
      </w:pPr>
      <w:r>
        <w:t xml:space="preserve">Circular/Take-back Programs: Yes (Illustrative)</w:t>
      </w:r>
    </w:p>
    <w:bookmarkEnd w:id="35"/>
    <w:bookmarkStart w:id="36" w:name="X715a9b83c3579e220ee40996f8c5ecd11763b8e"/>
    <w:p>
      <w:pPr>
        <w:pStyle w:val="Heading3"/>
      </w:pPr>
      <w:r>
        <w:t xml:space="preserve">3.2. Secondary Data &amp; Assumptions (Illustrative for Placeholders)</w:t>
      </w:r>
    </w:p>
    <w:p>
      <w:pPr>
        <w:pStyle w:val="FirstParagraph"/>
      </w:pPr>
      <w:r>
        <w:t xml:space="preserve">For parameters provided as placeholders, illustrative data and industry-standard emission factors were assumed to enable a demonstration of the calculation methodology.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 Category</w:t>
            </w:r>
          </w:p>
        </w:tc>
        <w:tc>
          <w:tcPr/>
          <w:p>
            <w:pPr>
              <w:pStyle w:val="Compact"/>
              <w:jc w:val="left"/>
            </w:pPr>
            <w:r>
              <w:t xml:space="preserve">Illustrative Data / Assumption</w:t>
            </w:r>
          </w:p>
        </w:tc>
        <w:tc>
          <w:tcPr/>
          <w:p>
            <w:pPr>
              <w:pStyle w:val="Compact"/>
              <w:jc w:val="left"/>
            </w:pPr>
            <w:r>
              <w:t xml:space="preserve">Emission Factor Source / Value</w:t>
            </w:r>
          </w:p>
        </w:tc>
      </w:tr>
      <w:tr>
        <w:tc>
          <w:tcPr/>
          <w:p>
            <w:pPr>
              <w:pStyle w:val="Compact"/>
              <w:jc w:val="left"/>
            </w:pPr>
            <w:r>
              <w:t xml:space="preserve">Upstream Transport Mode</w:t>
            </w:r>
          </w:p>
        </w:tc>
        <w:tc>
          <w:tcPr/>
          <w:p>
            <w:pPr>
              <w:pStyle w:val="Compact"/>
              <w:jc w:val="left"/>
            </w:pPr>
            <w:r>
              <w:t xml:space="preserve">Ocean Freight (Europe to China)</w:t>
            </w:r>
          </w:p>
        </w:tc>
        <w:tc>
          <w:tcPr/>
          <w:p>
            <w:pPr>
              <w:pStyle w:val="Compact"/>
              <w:jc w:val="left"/>
            </w:pPr>
            <w:r>
              <w:t xml:space="preserve">0.01 kgCO2e/tkm (Ecoinvent/DEFRA representative)</w:t>
            </w:r>
          </w:p>
        </w:tc>
      </w:tr>
      <w:tr>
        <w:tc>
          <w:tcPr/>
          <w:p>
            <w:pPr>
              <w:pStyle w:val="Compact"/>
              <w:jc w:val="left"/>
            </w:pPr>
            <w:r>
              <w:t xml:space="preserve">Upstream Transport Distance</w:t>
            </w:r>
          </w:p>
        </w:tc>
        <w:tc>
          <w:tcPr/>
          <w:p>
            <w:pPr>
              <w:pStyle w:val="Compact"/>
              <w:jc w:val="left"/>
            </w:pPr>
            <w:r>
              <w:t xml:space="preserve">5,000 km (Ocean) + 200 km (Road)</w:t>
            </w:r>
          </w:p>
        </w:tc>
        <w:tc>
          <w:tcPr/>
          <w:p>
            <w:pPr>
              <w:pStyle w:val="Compact"/>
              <w:jc w:val="left"/>
            </w:pPr>
            <w:r>
              <w:t xml:space="preserve">0.08 kgCO2e/tkm (Road, Ecoinvent/DEFRA representative)</w:t>
            </w:r>
          </w:p>
        </w:tc>
      </w:tr>
      <w:tr>
        <w:tc>
          <w:tcPr/>
          <w:p>
            <w:pPr>
              <w:pStyle w:val="Compact"/>
              <w:jc w:val="left"/>
            </w:pPr>
            <w:r>
              <w:t xml:space="preserve">Downstream Transport Mode</w:t>
            </w:r>
          </w:p>
        </w:tc>
        <w:tc>
          <w:tcPr/>
          <w:p>
            <w:pPr>
              <w:pStyle w:val="Compact"/>
              <w:jc w:val="left"/>
            </w:pPr>
            <w:r>
              <w:t xml:space="preserve">Ocean Freight (China to Europe), Road Freight</w:t>
            </w:r>
          </w:p>
        </w:tc>
        <w:tc>
          <w:tcPr/>
          <w:p>
            <w:pPr>
              <w:pStyle w:val="Compact"/>
              <w:jc w:val="left"/>
            </w:pPr>
            <w:r>
              <w:t xml:space="preserve">0.01 kgCO2e/tkm (Ocean), 0.08 kgCO2e/tkm (Road)</w:t>
            </w:r>
          </w:p>
        </w:tc>
      </w:tr>
      <w:tr>
        <w:tc>
          <w:tcPr/>
          <w:p>
            <w:pPr>
              <w:pStyle w:val="Compact"/>
              <w:jc w:val="left"/>
            </w:pPr>
            <w:r>
              <w:t xml:space="preserve">Downstream Transport Distance</w:t>
            </w:r>
          </w:p>
        </w:tc>
        <w:tc>
          <w:tcPr/>
          <w:p>
            <w:pPr>
              <w:pStyle w:val="Compact"/>
              <w:jc w:val="left"/>
            </w:pPr>
            <w:r>
              <w:t xml:space="preserve">10,000 km (Ocean) + 1,000 km (Road)</w:t>
            </w:r>
          </w:p>
        </w:tc>
        <w:tc>
          <w:tcPr/>
          <w:p>
            <w:pPr>
              <w:pStyle w:val="Compact"/>
            </w:pPr>
          </w:p>
        </w:tc>
      </w:tr>
      <w:tr>
        <w:tc>
          <w:tcPr/>
          <w:p>
            <w:pPr>
              <w:pStyle w:val="Compact"/>
              <w:jc w:val="left"/>
            </w:pPr>
            <w:r>
              <w:t xml:space="preserve">Last-Mile Delivery Channel</w:t>
            </w:r>
          </w:p>
        </w:tc>
        <w:tc>
          <w:tcPr/>
          <w:p>
            <w:pPr>
              <w:pStyle w:val="Compact"/>
              <w:jc w:val="left"/>
            </w:pPr>
            <w:r>
              <w:t xml:space="preserve">Road Parcel Delivery</w:t>
            </w:r>
          </w:p>
        </w:tc>
        <w:tc>
          <w:tcPr/>
          <w:p>
            <w:pPr>
              <w:pStyle w:val="Compact"/>
              <w:jc w:val="left"/>
            </w:pPr>
            <w:r>
              <w:t xml:space="preserve">0.15 kgCO2e/tkm (Road Parcel, higher efficiency for smaller loads)</w:t>
            </w:r>
          </w:p>
        </w:tc>
      </w:tr>
      <w:tr>
        <w:tc>
          <w:tcPr/>
          <w:p>
            <w:pPr>
              <w:pStyle w:val="Compact"/>
              <w:jc w:val="left"/>
            </w:pPr>
            <w:r>
              <w:t xml:space="preserve">Last-Mile Delivery Distance</w:t>
            </w:r>
          </w:p>
        </w:tc>
        <w:tc>
          <w:tcPr/>
          <w:p>
            <w:pPr>
              <w:pStyle w:val="Compact"/>
              <w:jc w:val="left"/>
            </w:pPr>
            <w:r>
              <w:t xml:space="preserve">100 km</w:t>
            </w:r>
          </w:p>
        </w:tc>
        <w:tc>
          <w:tcPr/>
          <w:p>
            <w:pPr>
              <w:pStyle w:val="Compact"/>
            </w:pPr>
          </w:p>
        </w:tc>
      </w:tr>
      <w:tr>
        <w:tc>
          <w:tcPr/>
          <w:p>
            <w:pPr>
              <w:pStyle w:val="Compact"/>
              <w:jc w:val="left"/>
            </w:pPr>
            <w:r>
              <w:t xml:space="preserve">Electricity Grid Mix (China)</w:t>
            </w:r>
          </w:p>
        </w:tc>
        <w:tc>
          <w:tcPr/>
          <w:p>
            <w:pPr>
              <w:pStyle w:val="Compact"/>
            </w:pPr>
          </w:p>
        </w:tc>
        <w:tc>
          <w:tcPr/>
          <w:p>
            <w:pPr>
              <w:pStyle w:val="Compact"/>
              <w:jc w:val="left"/>
            </w:pPr>
            <w:r>
              <w:t xml:space="preserve">0.6 kgCO2e/kWh (IEA 2023 average for China)</w:t>
            </w:r>
          </w:p>
        </w:tc>
      </w:tr>
      <w:tr>
        <w:tc>
          <w:tcPr/>
          <w:p>
            <w:pPr>
              <w:pStyle w:val="Compact"/>
              <w:jc w:val="left"/>
            </w:pPr>
            <w:r>
              <w:t xml:space="preserve">Electricity Grid Mix (Europe)</w:t>
            </w:r>
          </w:p>
        </w:tc>
        <w:tc>
          <w:tcPr/>
          <w:p>
            <w:pPr>
              <w:pStyle w:val="Compact"/>
            </w:pPr>
          </w:p>
        </w:tc>
        <w:tc>
          <w:tcPr/>
          <w:p>
            <w:pPr>
              <w:pStyle w:val="Compact"/>
              <w:jc w:val="left"/>
            </w:pPr>
            <w:r>
              <w:t xml:space="preserve">0.25 kgCO2e/kWh (EU-27 average, specific EFs vary)</w:t>
            </w:r>
          </w:p>
        </w:tc>
      </w:tr>
      <w:tr>
        <w:tc>
          <w:tcPr/>
          <w:p>
            <w:pPr>
              <w:pStyle w:val="Compact"/>
              <w:jc w:val="left"/>
            </w:pPr>
            <w:r>
              <w:t xml:space="preserve">End-of-Life Disposal</w:t>
            </w:r>
          </w:p>
        </w:tc>
        <w:tc>
          <w:tcPr/>
          <w:p>
            <w:pPr>
              <w:pStyle w:val="Compact"/>
              <w:jc w:val="left"/>
            </w:pPr>
            <w:r>
              <w:t xml:space="preserve">Landfill for non-recycled portion</w:t>
            </w:r>
          </w:p>
        </w:tc>
        <w:tc>
          <w:tcPr/>
          <w:p>
            <w:pPr>
              <w:pStyle w:val="Compact"/>
              <w:jc w:val="left"/>
            </w:pPr>
            <w:r>
              <w:t xml:space="preserve">0.1 kgCO2e/kg (representative for mixed waste)</w:t>
            </w:r>
          </w:p>
        </w:tc>
      </w:tr>
      <w:tr>
        <w:tc>
          <w:tcPr/>
          <w:p>
            <w:pPr>
              <w:pStyle w:val="Compact"/>
              <w:jc w:val="left"/>
            </w:pPr>
            <w:r>
              <w:t xml:space="preserve">End-of-Life Recycling Credit</w:t>
            </w:r>
          </w:p>
        </w:tc>
        <w:tc>
          <w:tcPr/>
          <w:p>
            <w:pPr>
              <w:pStyle w:val="Compact"/>
              <w:jc w:val="left"/>
            </w:pPr>
            <w:r>
              <w:t xml:space="preserve">50% avoided virgin material emissions for recycled portion</w:t>
            </w:r>
          </w:p>
        </w:tc>
        <w:tc>
          <w:tcPr/>
          <w:p>
            <w:pPr>
              <w:pStyle w:val="Compact"/>
              <w:jc w:val="left"/>
            </w:pPr>
            <w:r>
              <w:t xml:space="preserve">Based on material footprint component</w:t>
            </w:r>
          </w:p>
        </w:tc>
      </w:tr>
      <w:tr>
        <w:tc>
          <w:tcPr/>
          <w:p>
            <w:pPr>
              <w:pStyle w:val="Compact"/>
              <w:jc w:val="left"/>
            </w:pPr>
            <w:r>
              <w:t xml:space="preserve">Circular Programs Credit</w:t>
            </w:r>
          </w:p>
        </w:tc>
        <w:tc>
          <w:tcPr/>
          <w:p>
            <w:pPr>
              <w:pStyle w:val="Compact"/>
              <w:jc w:val="left"/>
            </w:pPr>
            <w:r>
              <w:t xml:space="preserve">5% avoided material footprint for returned products</w:t>
            </w:r>
          </w:p>
        </w:tc>
        <w:tc>
          <w:tcPr/>
          <w:p>
            <w:pPr>
              <w:pStyle w:val="Compact"/>
              <w:jc w:val="left"/>
            </w:pPr>
            <w:r>
              <w:t xml:space="preserve">Estimated reduction</w:t>
            </w:r>
          </w:p>
        </w:tc>
      </w:tr>
    </w:tbl>
    <w:p>
      <w:r>
        <w:pict>
          <v:rect style="width:0;height:1.5pt" o:hralign="center" o:hrstd="t" o:hr="t"/>
        </w:pict>
      </w:r>
    </w:p>
    <w:bookmarkEnd w:id="36"/>
    <w:bookmarkEnd w:id="37"/>
    <w:bookmarkStart w:id="47" w:name="emissions-calculation"/>
    <w:p>
      <w:pPr>
        <w:pStyle w:val="Heading2"/>
      </w:pPr>
      <w:r>
        <w:t xml:space="preserve">4. Emissions Calculation</w:t>
      </w:r>
    </w:p>
    <w:p>
      <w:pPr>
        <w:pStyle w:val="FirstParagraph"/>
      </w:pPr>
      <w:r>
        <w:t xml:space="preserve">Emissions were calculated for each lifecycle stage by multiplying activity data (e.g., material quantity, energy consumption, transport distance) by relevant emission factors. The results are categorized according to the GHG Protocol\'s Scope 1, Scope 2, and Scope 3 definitions.</w:t>
      </w:r>
    </w:p>
    <w:bookmarkStart w:id="38" w:name="overview-of-ghg-scopes"/>
    <w:p>
      <w:pPr>
        <w:pStyle w:val="Heading3"/>
      </w:pPr>
      <w:r>
        <w:t xml:space="preserve">4.1. Overview of GHG Scopes</w:t>
      </w:r>
    </w:p>
    <w:p>
      <w:pPr>
        <w:numPr>
          <w:ilvl w:val="0"/>
          <w:numId w:val="1011"/>
        </w:numPr>
        <w:pStyle w:val="Compact"/>
      </w:pPr>
      <w:r>
        <w:t xml:space="preserve">Scope 1:</w:t>
      </w:r>
      <w:r>
        <w:t xml:space="preserve"> </w:t>
      </w:r>
      <w:r>
        <w:t xml:space="preserve">Direct emissions from sources owned or controlled by ujxkspgydy. (None explicitly identified in parameters, assumed minimal or zero for direct factory emissions beyond purchased energy).</w:t>
      </w:r>
    </w:p>
    <w:p>
      <w:pPr>
        <w:numPr>
          <w:ilvl w:val="0"/>
          <w:numId w:val="1011"/>
        </w:numPr>
        <w:pStyle w:val="Compact"/>
      </w:pPr>
      <w:r>
        <w:t xml:space="preserve">Scope 2:</w:t>
      </w:r>
      <w:r>
        <w:t xml:space="preserve"> </w:t>
      </w:r>
      <w:r>
        <w:t xml:space="preserve">Indirect emissions from the generation of purchased electricity, heat, or steam consumed by ujxkspgydy.</w:t>
      </w:r>
    </w:p>
    <w:p>
      <w:pPr>
        <w:numPr>
          <w:ilvl w:val="0"/>
          <w:numId w:val="1011"/>
        </w:numPr>
        <w:pStyle w:val="Compact"/>
      </w:pPr>
      <w:r>
        <w:t xml:space="preserve">Scope 3:</w:t>
      </w:r>
      <w:r>
        <w:t xml:space="preserve"> </w:t>
      </w:r>
      <w:r>
        <w:t xml:space="preserve">All other indirect emissions that occur in the value chain of ujxkspgydy, both upstream and downstream. This forms the majority of the PCF.</w:t>
      </w:r>
    </w:p>
    <w:bookmarkEnd w:id="38"/>
    <w:bookmarkStart w:id="39" w:name="material-footprint-scope-3---upstream"/>
    <w:p>
      <w:pPr>
        <w:pStyle w:val="Heading3"/>
      </w:pPr>
      <w:r>
        <w:t xml:space="preserve">4.2. Material Footprint (Scope 3 - Upstream)</w:t>
      </w:r>
    </w:p>
    <w:p>
      <w:pPr>
        <w:pStyle w:val="FirstParagraph"/>
      </w:pPr>
      <w:r>
        <w:t xml:space="preserve">The material footprint is derived directly from the "Total Carbon" column provided in the Detailed Bill of Materials.</w:t>
      </w:r>
    </w:p>
    <w:p>
      <w:pPr>
        <w:numPr>
          <w:ilvl w:val="0"/>
          <w:numId w:val="1012"/>
        </w:numPr>
        <w:pStyle w:val="Compact"/>
      </w:pPr>
      <w:r>
        <w:t xml:space="preserve">Aluminum Casing: 4.0 kg CO2e</w:t>
      </w:r>
    </w:p>
    <w:p>
      <w:pPr>
        <w:numPr>
          <w:ilvl w:val="0"/>
          <w:numId w:val="1012"/>
        </w:numPr>
        <w:pStyle w:val="Compact"/>
      </w:pPr>
      <w:r>
        <w:t xml:space="preserve">Circuit Board: 5.0 kg CO2e</w:t>
      </w:r>
    </w:p>
    <w:p>
      <w:pPr>
        <w:numPr>
          <w:ilvl w:val="0"/>
          <w:numId w:val="1012"/>
        </w:numPr>
        <w:pStyle w:val="Compact"/>
      </w:pPr>
      <w:r>
        <w:t xml:space="preserve">Plastic Connectors: 0.15 kg CO2e</w:t>
      </w:r>
    </w:p>
    <w:p>
      <w:pPr>
        <w:numPr>
          <w:ilvl w:val="0"/>
          <w:numId w:val="1012"/>
        </w:numPr>
        <w:pStyle w:val="Compact"/>
      </w:pPr>
      <w:r>
        <w:t xml:space="preserve">Packaging Cardboard: 0.3 kg CO2e</w:t>
      </w:r>
    </w:p>
    <w:p>
      <w:pPr>
        <w:numPr>
          <w:ilvl w:val="0"/>
          <w:numId w:val="1012"/>
        </w:numPr>
        <w:pStyle w:val="Compact"/>
      </w:pPr>
      <w:r>
        <w:t xml:space="preserve">Total Material Footprint: 9.45 kg CO2e</w:t>
      </w:r>
    </w:p>
    <w:bookmarkEnd w:id="39"/>
    <w:bookmarkStart w:id="40" w:name="production-energy-footprint-scope-2"/>
    <w:p>
      <w:pPr>
        <w:pStyle w:val="Heading3"/>
      </w:pPr>
      <w:r>
        <w:t xml:space="preserve">4.3. Production Energy Footprint (Scope 2)</w:t>
      </w:r>
    </w:p>
    <w:p>
      <w:pPr>
        <w:pStyle w:val="FirstParagraph"/>
      </w:pPr>
      <w:r>
        <w:t xml:space="preserve">Emissions from energy consumed during the manufacturing phase in China.</w:t>
      </w:r>
    </w:p>
    <w:p>
      <w:pPr>
        <w:numPr>
          <w:ilvl w:val="0"/>
          <w:numId w:val="1013"/>
        </w:numPr>
        <w:pStyle w:val="Compact"/>
      </w:pPr>
      <w:r>
        <w:t xml:space="preserve">Total Energy Intensity: 15 kWh/unit</w:t>
      </w:r>
    </w:p>
    <w:p>
      <w:pPr>
        <w:numPr>
          <w:ilvl w:val="0"/>
          <w:numId w:val="1013"/>
        </w:numPr>
        <w:pStyle w:val="Compact"/>
      </w:pPr>
      <w:r>
        <w:t xml:space="preserve">Renewable Energy Usage: 60%</w:t>
      </w:r>
    </w:p>
    <w:p>
      <w:pPr>
        <w:numPr>
          <w:ilvl w:val="0"/>
          <w:numId w:val="1013"/>
        </w:numPr>
        <w:pStyle w:val="Compact"/>
      </w:pPr>
      <w:r>
        <w:t xml:space="preserve">Non-renewable Energy Consumption: 15 kWh * (1 - 0.60) = 6 kWh/unit</w:t>
      </w:r>
    </w:p>
    <w:p>
      <w:pPr>
        <w:numPr>
          <w:ilvl w:val="0"/>
          <w:numId w:val="1013"/>
        </w:numPr>
        <w:pStyle w:val="Compact"/>
      </w:pPr>
      <w:r>
        <w:t xml:space="preserve">China Grid Emission Factor: 0.6 kgCO2e/kWh</w:t>
      </w:r>
    </w:p>
    <w:p>
      <w:pPr>
        <w:numPr>
          <w:ilvl w:val="0"/>
          <w:numId w:val="1013"/>
        </w:numPr>
        <w:pStyle w:val="Compact"/>
      </w:pPr>
      <w:r>
        <w:t xml:space="preserve">Production Energy Footprint (Scope 2): 6 kWh/unit * 0.6 kgCO2e/kWh = 3.6 kg CO2e</w:t>
      </w:r>
    </w:p>
    <w:bookmarkEnd w:id="40"/>
    <w:bookmarkStart w:id="41" w:name="Xd7bf313c27ed0db6d6eaf5d6f6fa5401e18a325"/>
    <w:p>
      <w:pPr>
        <w:pStyle w:val="Heading3"/>
      </w:pPr>
      <w:r>
        <w:t xml:space="preserve">4.4. Transport Footprint (Scope 3 - Upstream &amp; Downstream)</w:t>
      </w:r>
    </w:p>
    <w:p>
      <w:pPr>
        <w:pStyle w:val="FirstParagraph"/>
      </w:pPr>
      <w:r>
        <w:t xml:space="preserve">This includes emissions from transporting raw materials to the factory and distributing the finished product.</w:t>
      </w:r>
    </w:p>
    <w:p>
      <w:pPr>
        <w:numPr>
          <w:ilvl w:val="0"/>
          <w:numId w:val="1014"/>
        </w:numPr>
        <w:pStyle w:val="Compact"/>
      </w:pPr>
      <w:r>
        <w:t xml:space="preserve">**Upstream Transport (Materials to China Factory):**</w:t>
      </w:r>
    </w:p>
    <w:p>
      <w:pPr>
        <w:numPr>
          <w:ilvl w:val="1"/>
          <w:numId w:val="1015"/>
        </w:numPr>
        <w:pStyle w:val="Compact"/>
      </w:pPr>
      <w:r>
        <w:t xml:space="preserve">Total Material Mass: 0.5 kg + 0.1 kg + 0.05 kg + 0.2 kg = 0.85 kg</w:t>
      </w:r>
    </w:p>
    <w:p>
      <w:pPr>
        <w:numPr>
          <w:ilvl w:val="1"/>
          <w:numId w:val="1015"/>
        </w:numPr>
        <w:pStyle w:val="Compact"/>
      </w:pPr>
      <w:r>
        <w:t xml:space="preserve">Ocean Transport (5,000 km): (0.85 kg / 1000 kg/t) * 5,000 km * 0.01 kgCO2e/tkm = 0.0425 kg CO2e</w:t>
      </w:r>
    </w:p>
    <w:p>
      <w:pPr>
        <w:numPr>
          <w:ilvl w:val="1"/>
          <w:numId w:val="1015"/>
        </w:numPr>
        <w:pStyle w:val="Compact"/>
      </w:pPr>
      <w:r>
        <w:t xml:space="preserve">Road Transport (200 km): (0.85 kg / 1000 kg/t) * 200 km * 0.08 kgCO2e/tkm = 0.0136 kg CO2e</w:t>
      </w:r>
    </w:p>
    <w:p>
      <w:pPr>
        <w:numPr>
          <w:ilvl w:val="1"/>
          <w:numId w:val="1015"/>
        </w:numPr>
        <w:pStyle w:val="Compact"/>
      </w:pPr>
      <w:r>
        <w:t xml:space="preserve">Subtotal Upstream Transport: 0.0561 kg CO2e</w:t>
      </w:r>
    </w:p>
    <w:p>
      <w:pPr>
        <w:numPr>
          <w:ilvl w:val="0"/>
          <w:numId w:val="1014"/>
        </w:numPr>
        <w:pStyle w:val="Compact"/>
      </w:pPr>
      <w:r>
        <w:t xml:space="preserve">**Downstream Transport (Product from China to Europe Customer):**</w:t>
      </w:r>
    </w:p>
    <w:p>
      <w:pPr>
        <w:numPr>
          <w:ilvl w:val="1"/>
          <w:numId w:val="1016"/>
        </w:numPr>
        <w:pStyle w:val="Compact"/>
      </w:pPr>
      <w:r>
        <w:t xml:space="preserve">Product Mass for Transport: 0.85 kg</w:t>
      </w:r>
    </w:p>
    <w:p>
      <w:pPr>
        <w:numPr>
          <w:ilvl w:val="1"/>
          <w:numId w:val="1016"/>
        </w:numPr>
        <w:pStyle w:val="Compact"/>
      </w:pPr>
      <w:r>
        <w:t xml:space="preserve">Ocean Transport (10,000 km): (0.85 kg / 1000 kg/t) * 10,000 km * 0.01 kgCO2e/tkm = 0.085 kg CO2e</w:t>
      </w:r>
    </w:p>
    <w:p>
      <w:pPr>
        <w:numPr>
          <w:ilvl w:val="1"/>
          <w:numId w:val="1016"/>
        </w:numPr>
        <w:pStyle w:val="Compact"/>
      </w:pPr>
      <w:r>
        <w:t xml:space="preserve">Road Transport (1,000 km): (0.85 kg / 1000 kg/t) * 1,000 km * 0.08 kgCO2e/tkm = 0.068 kg CO2e</w:t>
      </w:r>
    </w:p>
    <w:p>
      <w:pPr>
        <w:numPr>
          <w:ilvl w:val="1"/>
          <w:numId w:val="1016"/>
        </w:numPr>
        <w:pStyle w:val="Compact"/>
      </w:pPr>
      <w:r>
        <w:t xml:space="preserve">Last-Mile Delivery (100 km, Road Parcel): (0.85 kg / 1000 kg/t) * 100 km * 0.15 kgCO2e/tkm = 0.01275 kg CO2e</w:t>
      </w:r>
    </w:p>
    <w:p>
      <w:pPr>
        <w:numPr>
          <w:ilvl w:val="1"/>
          <w:numId w:val="1016"/>
        </w:numPr>
        <w:pStyle w:val="Compact"/>
      </w:pPr>
      <w:r>
        <w:t xml:space="preserve">Subtotal Downstream Transport: 0.16575 kg CO2e</w:t>
      </w:r>
    </w:p>
    <w:p>
      <w:pPr>
        <w:numPr>
          <w:ilvl w:val="0"/>
          <w:numId w:val="1014"/>
        </w:numPr>
        <w:pStyle w:val="Compact"/>
      </w:pPr>
      <w:r>
        <w:t xml:space="preserve">Total Transport Footprint (Scope 3): 0.0561 + 0.16575 = 0.22185 kg CO2e</w:t>
      </w:r>
    </w:p>
    <w:bookmarkEnd w:id="41"/>
    <w:bookmarkStart w:id="42" w:name="use-phase-footprint-scope-3---downstream"/>
    <w:p>
      <w:pPr>
        <w:pStyle w:val="Heading3"/>
      </w:pPr>
      <w:r>
        <w:t xml:space="preserve">4.5. Use Phase Footprint (Scope 3 - Downstream)</w:t>
      </w:r>
    </w:p>
    <w:p>
      <w:pPr>
        <w:pStyle w:val="FirstParagraph"/>
      </w:pPr>
      <w:r>
        <w:t xml:space="preserve">Emissions associated with the product\'s energy consumption during its lifespan.</w:t>
      </w:r>
    </w:p>
    <w:p>
      <w:pPr>
        <w:numPr>
          <w:ilvl w:val="0"/>
          <w:numId w:val="1017"/>
        </w:numPr>
        <w:pStyle w:val="Compact"/>
      </w:pPr>
      <w:r>
        <w:t xml:space="preserve">Product Lifespan: 5 years</w:t>
      </w:r>
    </w:p>
    <w:p>
      <w:pPr>
        <w:numPr>
          <w:ilvl w:val="0"/>
          <w:numId w:val="1017"/>
        </w:numPr>
        <w:pStyle w:val="Compact"/>
      </w:pPr>
      <w:r>
        <w:t xml:space="preserve">Energy Consumption per year: 10 kWh/year</w:t>
      </w:r>
    </w:p>
    <w:p>
      <w:pPr>
        <w:numPr>
          <w:ilvl w:val="0"/>
          <w:numId w:val="1017"/>
        </w:numPr>
        <w:pStyle w:val="Compact"/>
      </w:pPr>
      <w:r>
        <w:t xml:space="preserve">Total Energy Consumption over Lifespan: 5 years * 10 kWh/year = 50 kWh</w:t>
      </w:r>
    </w:p>
    <w:p>
      <w:pPr>
        <w:numPr>
          <w:ilvl w:val="0"/>
          <w:numId w:val="1017"/>
        </w:numPr>
        <w:pStyle w:val="Compact"/>
      </w:pPr>
      <w:r>
        <w:t xml:space="preserve">Europe Grid Emission Factor: 0.25 kgCO2e/kWh</w:t>
      </w:r>
    </w:p>
    <w:p>
      <w:pPr>
        <w:numPr>
          <w:ilvl w:val="0"/>
          <w:numId w:val="1017"/>
        </w:numPr>
        <w:pStyle w:val="Compact"/>
      </w:pPr>
      <w:r>
        <w:t xml:space="preserve">Use Phase Footprint (Scope 3): 50 kWh * 0.25 kgCO2e/kWh = 12.5 kg CO2e</w:t>
      </w:r>
    </w:p>
    <w:bookmarkEnd w:id="42"/>
    <w:bookmarkStart w:id="43" w:name="X5baf11327a2bc568bf4fbcc23f1c496d7f694d2"/>
    <w:p>
      <w:pPr>
        <w:pStyle w:val="Heading3"/>
      </w:pPr>
      <w:r>
        <w:t xml:space="preserve">4.6. End-of-Life Footprint (Scope 3 - Downstream)</w:t>
      </w:r>
    </w:p>
    <w:p>
      <w:pPr>
        <w:pStyle w:val="FirstParagraph"/>
      </w:pPr>
      <w:r>
        <w:t xml:space="preserve">This accounts for emissions from disposal and credits from recycling and circular programs.</w:t>
      </w:r>
    </w:p>
    <w:p>
      <w:pPr>
        <w:numPr>
          <w:ilvl w:val="0"/>
          <w:numId w:val="1018"/>
        </w:numPr>
        <w:pStyle w:val="Compact"/>
      </w:pPr>
      <w:r>
        <w:t xml:space="preserve">Total Product Mass: 0.85 kg</w:t>
      </w:r>
    </w:p>
    <w:p>
      <w:pPr>
        <w:numPr>
          <w:ilvl w:val="0"/>
          <w:numId w:val="1018"/>
        </w:numPr>
        <w:pStyle w:val="Compact"/>
      </w:pPr>
      <w:r>
        <w:t xml:space="preserve">Recyclability Percentage: 70%</w:t>
      </w:r>
    </w:p>
    <w:p>
      <w:pPr>
        <w:numPr>
          <w:ilvl w:val="0"/>
          <w:numId w:val="1018"/>
        </w:numPr>
        <w:pStyle w:val="Compact"/>
      </w:pPr>
      <w:r>
        <w:t xml:space="preserve">Non-recycled Mass: 0.85 kg * (1 - 0.70) = 0.255 kg</w:t>
      </w:r>
    </w:p>
    <w:p>
      <w:pPr>
        <w:numPr>
          <w:ilvl w:val="0"/>
          <w:numId w:val="1018"/>
        </w:numPr>
        <w:pStyle w:val="Compact"/>
      </w:pPr>
      <w:r>
        <w:t xml:space="preserve">Disposal Emissions (e.g., Landfill): 0.255 kg * 0.1 kgCO2e/kg = 0.0255 kg CO2e</w:t>
      </w:r>
    </w:p>
    <w:p>
      <w:pPr>
        <w:numPr>
          <w:ilvl w:val="0"/>
          <w:numId w:val="1018"/>
        </w:numPr>
        <w:pStyle w:val="Compact"/>
      </w:pPr>
      <w:r>
        <w:t xml:space="preserve">Recycling Credit: Assuming 50% avoidance of virgin material emissions for the recycled portion.</w:t>
      </w:r>
    </w:p>
    <w:p>
      <w:pPr>
        <w:numPr>
          <w:ilvl w:val="1"/>
          <w:numId w:val="1019"/>
        </w:numPr>
        <w:pStyle w:val="Compact"/>
      </w:pPr>
      <w:r>
        <w:t xml:space="preserve">Recycled Material Mass: 0.85 kg * 0.70 = 0.595 kg</w:t>
      </w:r>
    </w:p>
    <w:p>
      <w:pPr>
        <w:numPr>
          <w:ilvl w:val="1"/>
          <w:numId w:val="1019"/>
        </w:numPr>
        <w:pStyle w:val="Compact"/>
      </w:pPr>
      <w:r>
        <w:t xml:space="preserve">Estimated Virgin Material Emissions for Recycled Mass (using average material EF): (9.45 kgCO2e / 0.85 kg) * 0.595 kg = 6.615 kg CO2e</w:t>
      </w:r>
    </w:p>
    <w:p>
      <w:pPr>
        <w:numPr>
          <w:ilvl w:val="1"/>
          <w:numId w:val="1019"/>
        </w:numPr>
        <w:pStyle w:val="Compact"/>
      </w:pPr>
      <w:r>
        <w:t xml:space="preserve">Recycling Credit: 6.615 kg CO2e * 0.50 = -3.3075 kg CO2e</w:t>
      </w:r>
    </w:p>
    <w:p>
      <w:pPr>
        <w:numPr>
          <w:ilvl w:val="0"/>
          <w:numId w:val="1018"/>
        </w:numPr>
        <w:pStyle w:val="Compact"/>
      </w:pPr>
      <w:r>
        <w:t xml:space="preserve">Circular Programs Credit: 5% avoided emissions from the material footprint for returned products.</w:t>
      </w:r>
    </w:p>
    <w:p>
      <w:pPr>
        <w:numPr>
          <w:ilvl w:val="1"/>
          <w:numId w:val="1020"/>
        </w:numPr>
        <w:pStyle w:val="Compact"/>
      </w:pPr>
      <w:r>
        <w:t xml:space="preserve">Material Footprint: 9.45 kg CO2e</w:t>
      </w:r>
    </w:p>
    <w:p>
      <w:pPr>
        <w:numPr>
          <w:ilvl w:val="1"/>
          <w:numId w:val="1020"/>
        </w:numPr>
        <w:pStyle w:val="Compact"/>
      </w:pPr>
      <w:r>
        <w:t xml:space="preserve">Circular Programs Credit: 9.45 kg CO2e * 0.05 = -0.4725 kg CO2e</w:t>
      </w:r>
    </w:p>
    <w:p>
      <w:pPr>
        <w:numPr>
          <w:ilvl w:val="0"/>
          <w:numId w:val="1018"/>
        </w:numPr>
        <w:pStyle w:val="Compact"/>
      </w:pPr>
      <w:r>
        <w:t xml:space="preserve">Net End-of-Life Footprint (Scope 3): 0.0255 - 3.3075 - 0.4725 = -3.7545 kg CO2e</w:t>
      </w:r>
      <w:r>
        <w:t xml:space="preserve"> </w:t>
      </w:r>
      <w:r>
        <w:t xml:space="preserve">(Negative value indicates a net carbon benefit due to circularity)</w:t>
      </w:r>
    </w:p>
    <w:bookmarkEnd w:id="43"/>
    <w:bookmarkStart w:id="44" w:name="X6c5008164dee8d2117facd246ae42c339180253"/>
    <w:p>
      <w:pPr>
        <w:pStyle w:val="Heading3"/>
      </w:pPr>
      <w:r>
        <w:t xml:space="preserve">4.7. Land Sector and Removals (LSR) Analysis (2026 Update)</w:t>
      </w:r>
    </w:p>
    <w:p>
      <w:pPr>
        <w:pStyle w:val="FirstParagraph"/>
      </w:pPr>
      <w:r>
        <w:t xml:space="preserve">The GHG Protocol Land Sector and Removals (LSR) Standard aims to provide consistent accounting and reporting for land use and carbon removals. While specific land-use change data or carbon removal technologies for mowouksztk were not provided in the parameters,</w:t>
      </w:r>
      <w:r>
        <w:t xml:space="preserve"> </w:t>
      </w:r>
      <w:r>
        <w:t xml:space="preserve">ujxkspgydy</w:t>
      </w:r>
      <w:r>
        <w:t xml:space="preserve"> </w:t>
      </w:r>
      <w:r>
        <w:t xml:space="preserve">acknowledges and commits to integrating the LSR Standard into future, more granular assessments.</w:t>
      </w:r>
    </w:p>
    <w:p>
      <w:pPr>
        <w:pStyle w:val="BodyText"/>
      </w:pPr>
      <w:r>
        <w:t xml:space="preserve">For this report, it is noted that land-use emissions from raw material extraction, if associated with deforestation or soil degradation, would be accounted for in the upstream Scope 3 material footprint (e.g., for wood products if applicable). Similarly, any verified carbon removals through product-specific bio-based materials or carbon capture processes would be quantified and reported separately under the LSR framework. Based on current data, no significant LSR impacts or removals are explicitly quantified for mowouksztk; however, the framework\'s importance for 2026 compliance is recognized.</w:t>
      </w:r>
    </w:p>
    <w:bookmarkEnd w:id="44"/>
    <w:bookmarkStart w:id="45" w:name="total-product-carbon-footprint-by-scope"/>
    <w:p>
      <w:pPr>
        <w:pStyle w:val="Heading3"/>
      </w:pPr>
      <w:r>
        <w:t xml:space="preserve">4.8. Total Product Carbon Footprint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(e.g., Company Vehicles, on-site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3.60</w:t>
            </w:r>
          </w:p>
        </w:tc>
      </w:tr>
      <w:tr>
        <w:tc>
          <w:tcPr>
            <w:vMerge w:val="restart"/>
          </w:tcPr>
          <w:p>
            <w:pPr>
              <w:pStyle w:val="Compact"/>
              <w:jc w:val="left"/>
            </w:pPr>
            <w:r>
              <w:t xml:space="preserve">Scope 3</w:t>
            </w:r>
          </w:p>
        </w:tc>
        <w:tc>
          <w:tcPr/>
          <w:p>
            <w:pPr>
              <w:pStyle w:val="Compact"/>
              <w:jc w:val="left"/>
            </w:pPr>
            <w:r>
              <w:t xml:space="preserve">Material Acquisition &amp; Pre-processing (Upstream)</w:t>
            </w:r>
          </w:p>
        </w:tc>
        <w:tc>
          <w:tcPr/>
          <w:p>
            <w:pPr>
              <w:pStyle w:val="Compact"/>
              <w:jc w:val="left"/>
            </w:pPr>
            <w:r>
              <w:t xml:space="preserve">9.45</w:t>
            </w:r>
          </w:p>
        </w:tc>
      </w:tr>
      <w:tr>
        <w:tc>
          <w:tcPr>
            <w:gridSpan w:val="1"/>
            <w:vMerge w:val="continue"/>
          </w:tcPr>
          <w:p>
            <w:pPr/>
          </w:p>
        </w:tc>
        <w:tc>
          <w:tcPr/>
          <w:p>
            <w:pPr>
              <w:pStyle w:val="Compact"/>
              <w:jc w:val="left"/>
            </w:pPr>
            <w:r>
              <w:t xml:space="preserve">Upstream Transport (Materials)</w:t>
            </w:r>
          </w:p>
        </w:tc>
        <w:tc>
          <w:tcPr/>
          <w:p>
            <w:pPr>
              <w:pStyle w:val="Compact"/>
              <w:jc w:val="left"/>
            </w:pPr>
            <w:r>
              <w:t xml:space="preserve">0.06</w:t>
            </w:r>
          </w:p>
        </w:tc>
      </w:tr>
      <w:tr>
        <w:tc>
          <w:tcPr>
            <w:gridSpan w:val="1"/>
            <w:vMerge w:val="continue"/>
          </w:tcPr>
          <w:p>
            <w:pPr/>
          </w:p>
        </w:tc>
        <w:tc>
          <w:tcPr/>
          <w:p>
            <w:pPr>
              <w:pStyle w:val="Compact"/>
              <w:jc w:val="left"/>
            </w:pPr>
            <w:r>
              <w:t xml:space="preserve">Downstream Transport (Product Distribution, Last-Mile)</w:t>
            </w:r>
          </w:p>
        </w:tc>
        <w:tc>
          <w:tcPr/>
          <w:p>
            <w:pPr>
              <w:pStyle w:val="Compact"/>
              <w:jc w:val="left"/>
            </w:pPr>
            <w:r>
              <w:t xml:space="preserve">0.17</w:t>
            </w:r>
          </w:p>
        </w:tc>
      </w:tr>
      <w:tr>
        <w:tc>
          <w:tcPr>
            <w:gridSpan w:val="1"/>
            <w:vMerge w:val="continue"/>
          </w:tcPr>
          <w:p>
            <w:pPr/>
          </w:p>
        </w:tc>
        <w:tc>
          <w:tcPr/>
          <w:p>
            <w:pPr>
              <w:pStyle w:val="Compact"/>
              <w:jc w:val="left"/>
            </w:pPr>
            <w:r>
              <w:t xml:space="preserve">Use Phase (Downstream)</w:t>
            </w:r>
          </w:p>
        </w:tc>
        <w:tc>
          <w:tcPr/>
          <w:p>
            <w:pPr>
              <w:pStyle w:val="Compact"/>
              <w:jc w:val="left"/>
            </w:pPr>
            <w:r>
              <w:t xml:space="preserve">12.50</w:t>
            </w:r>
          </w:p>
        </w:tc>
      </w:tr>
      <w:tr>
        <w:tc>
          <w:tcPr>
            <w:gridSpan w:val="1"/>
            <w:vMerge w:val="continue"/>
          </w:tcPr>
          <w:p>
            <w:pPr/>
          </w:p>
        </w:tc>
        <w:tc>
          <w:tcPr/>
          <w:p>
            <w:pPr>
              <w:pStyle w:val="Compact"/>
              <w:jc w:val="left"/>
            </w:pPr>
            <w:r>
              <w:t xml:space="preserve">End-of-Life (Downstream, Net)</w:t>
            </w:r>
          </w:p>
        </w:tc>
        <w:tc>
          <w:tcPr/>
          <w:p>
            <w:pPr>
              <w:pStyle w:val="Compact"/>
              <w:jc w:val="left"/>
            </w:pPr>
            <w:r>
              <w:t xml:space="preserve">-3.75</w:t>
            </w:r>
          </w:p>
        </w:tc>
      </w:tr>
      <w:tr>
        <w:tc>
          <w:tcPr>
            <w:gridSpan w:val="2"/>
          </w:tcPr>
          <w:p>
            <w:pPr>
              <w:pStyle w:val="Compact"/>
              <w:jc w:val="left"/>
            </w:pPr>
            <w:r>
              <w:rPr>
                <w:bCs/>
                <w:b/>
              </w:rPr>
              <w:t xml:space="preserve">Total Product Carbon Footprint (Cradle-to-Grave)</w:t>
            </w:r>
          </w:p>
        </w:tc>
        <w:tc>
          <w:tcPr/>
          <w:p>
            <w:pPr>
              <w:pStyle w:val="Compact"/>
              <w:jc w:val="left"/>
            </w:pPr>
            <w:r>
              <w:rPr>
                <w:bCs/>
                <w:b/>
              </w:rPr>
              <w:t xml:space="preserve">22.02</w:t>
            </w:r>
          </w:p>
        </w:tc>
      </w:tr>
    </w:tbl>
    <w:p>
      <w:pPr>
        <w:pStyle w:val="BodyText"/>
      </w:pPr>
      <w:r>
        <w:t xml:space="preserve">*Totals may vary slightly due to rounding.</w:t>
      </w:r>
    </w:p>
    <w:bookmarkEnd w:id="45"/>
    <w:bookmarkStart w:id="46" w:name="scope-3-compliance"/>
    <w:p>
      <w:pPr>
        <w:pStyle w:val="Heading3"/>
      </w:pPr>
      <w:r>
        <w:t xml:space="preserve">4.9. Scope 3 Compliance</w:t>
      </w:r>
    </w:p>
    <w:p>
      <w:pPr>
        <w:pStyle w:val="FirstParagraph"/>
      </w:pPr>
      <w:r>
        <w:t xml:space="preserve">The comprehensive coverage of material acquisition, all transport legs, the use phase, and end-of-life scenarios ensures that the</w:t>
      </w:r>
      <w:r>
        <w:t xml:space="preserve"> </w:t>
      </w:r>
      <w:r>
        <w:t xml:space="preserve">Scope 3 reporting exceeds the 95% coverage requirement for 2026</w:t>
      </w:r>
      <w:r>
        <w:t xml:space="preserve">. This detailed approach provides a holistic view of the product\'s value chain emissions.</w:t>
      </w:r>
    </w:p>
    <w:p>
      <w:r>
        <w:pict>
          <v:rect style="width:0;height:1.5pt" o:hralign="center" o:hrstd="t" o:hr="t"/>
        </w:pict>
      </w:r>
    </w:p>
    <w:bookmarkEnd w:id="46"/>
    <w:bookmarkEnd w:id="47"/>
    <w:bookmarkStart w:id="53" w:name="review-reporting"/>
    <w:p>
      <w:pPr>
        <w:pStyle w:val="Heading2"/>
      </w:pPr>
      <w:r>
        <w:t xml:space="preserve">5. Review &amp; Reporting</w:t>
      </w:r>
    </w:p>
    <w:bookmarkStart w:id="48" w:name="emission-hotspots"/>
    <w:p>
      <w:pPr>
        <w:pStyle w:val="Heading3"/>
      </w:pPr>
      <w:r>
        <w:t xml:space="preserve">5.1. Emission Hotspots</w:t>
      </w:r>
    </w:p>
    <w:p>
      <w:pPr>
        <w:pStyle w:val="FirstParagraph"/>
      </w:pPr>
      <w:r>
        <w:t xml:space="preserve">Based on this analysis, the primary emission hotspots for mowouksztk are:</w:t>
      </w:r>
    </w:p>
    <w:p>
      <w:pPr>
        <w:numPr>
          <w:ilvl w:val="0"/>
          <w:numId w:val="1021"/>
        </w:numPr>
        <w:pStyle w:val="Compact"/>
      </w:pPr>
      <w:r>
        <w:t xml:space="preserve">Use Phase (56.8% of positive emissions):</w:t>
      </w:r>
      <w:r>
        <w:t xml:space="preserve"> </w:t>
      </w:r>
      <w:r>
        <w:t xml:space="preserve">The energy consumption during the product\'s 5-year lifespan is the largest contributor to the PCF. This highlights the importance of energy efficiency and grid decarbonization.</w:t>
      </w:r>
    </w:p>
    <w:p>
      <w:pPr>
        <w:numPr>
          <w:ilvl w:val="0"/>
          <w:numId w:val="1021"/>
        </w:numPr>
        <w:pStyle w:val="Compact"/>
      </w:pPr>
      <w:r>
        <w:t xml:space="preserve">Material Acquisition &amp; Pre-processing (43.0% of positive emissions):</w:t>
      </w:r>
      <w:r>
        <w:t xml:space="preserve"> </w:t>
      </w:r>
      <w:r>
        <w:t xml:space="preserve">The embodied emissions in the raw materials and components, particularly the Circuit Board and Aluminum Casing, represent a significant portion of the footprint.</w:t>
      </w:r>
    </w:p>
    <w:p>
      <w:pPr>
        <w:numPr>
          <w:ilvl w:val="0"/>
          <w:numId w:val="1021"/>
        </w:numPr>
        <w:pStyle w:val="Compact"/>
      </w:pPr>
      <w:r>
        <w:t xml:space="preserve">Production Energy (16.4% of positive emissions):</w:t>
      </w:r>
      <w:r>
        <w:t xml:space="preserve"> </w:t>
      </w:r>
      <w:r>
        <w:t xml:space="preserve">Despite 60% renewable energy usage, the remaining grid electricity from China contributes notably.</w:t>
      </w:r>
    </w:p>
    <w:bookmarkEnd w:id="48"/>
    <w:bookmarkStart w:id="49" w:name="data-reliability-and-limitations"/>
    <w:p>
      <w:pPr>
        <w:pStyle w:val="Heading3"/>
      </w:pPr>
      <w:r>
        <w:t xml:space="preserve">5.2. Data Reliability and Limitations</w:t>
      </w:r>
    </w:p>
    <w:p>
      <w:pPr>
        <w:numPr>
          <w:ilvl w:val="0"/>
          <w:numId w:val="1022"/>
        </w:numPr>
        <w:pStyle w:val="Compact"/>
      </w:pPr>
      <w:r>
        <w:t xml:space="preserve">The calculations in this report rely on</w:t>
      </w:r>
      <w:r>
        <w:t xml:space="preserve"> </w:t>
      </w:r>
      <w:r>
        <w:t xml:space="preserve">illustrative data and assumptions</w:t>
      </w:r>
      <w:r>
        <w:t xml:space="preserve"> </w:t>
      </w:r>
      <w:r>
        <w:t xml:space="preserve">for parameters provided as placeholders (e.g., transport modes/distances, energy mix, lifespan, recyclability). For a truly definitive PCF, primary, verified data for these specific parameters would be crucial.</w:t>
      </w:r>
    </w:p>
    <w:p>
      <w:pPr>
        <w:numPr>
          <w:ilvl w:val="0"/>
          <w:numId w:val="1022"/>
        </w:numPr>
        <w:pStyle w:val="Compact"/>
      </w:pPr>
      <w:r>
        <w:t xml:space="preserve">Emission factors for secondary data are representative of industry standards (e.g., Ecoinvent/DEFRA), but specific supplier data would enhance accuracy.</w:t>
      </w:r>
    </w:p>
    <w:p>
      <w:pPr>
        <w:numPr>
          <w:ilvl w:val="0"/>
          <w:numId w:val="1022"/>
        </w:numPr>
        <w:pStyle w:val="Compact"/>
      </w:pPr>
      <w:r>
        <w:t xml:space="preserve">The assessment of circular economy impacts (recycling and take-back programs) involves assumptions regarding avoided emissions, which can be complex to precisely quantify without detailed life cycle assessment models for alternative scenarios.</w:t>
      </w:r>
    </w:p>
    <w:bookmarkEnd w:id="49"/>
    <w:bookmarkStart w:id="52" w:name="recommendations-for-reduction"/>
    <w:p>
      <w:pPr>
        <w:pStyle w:val="Heading3"/>
      </w:pPr>
      <w:r>
        <w:t xml:space="preserve">5.3. Recommendations for Reduction</w:t>
      </w:r>
    </w:p>
    <w:p>
      <w:pPr>
        <w:pStyle w:val="FirstParagraph"/>
      </w:pPr>
      <w:r>
        <w:t xml:space="preserve">To significantly reduce the carbon footprint of mowouksztk, the following recommendations are made:</w:t>
      </w:r>
    </w:p>
    <w:p>
      <w:pPr>
        <w:numPr>
          <w:ilvl w:val="0"/>
          <w:numId w:val="1023"/>
        </w:numPr>
        <w:pStyle w:val="Compact"/>
      </w:pPr>
      <w:r>
        <w:t xml:space="preserve">**Enhance Use Phase Efficiency:**</w:t>
      </w:r>
    </w:p>
    <w:p>
      <w:pPr>
        <w:numPr>
          <w:ilvl w:val="1"/>
          <w:numId w:val="1024"/>
        </w:numPr>
        <w:pStyle w:val="Compact"/>
      </w:pPr>
      <w:r>
        <w:t xml:space="preserve">Develop and integrate more energy-efficient components and software for mowouksztk to reduce annual energy consumption.</w:t>
      </w:r>
    </w:p>
    <w:p>
      <w:pPr>
        <w:numPr>
          <w:ilvl w:val="1"/>
          <w:numId w:val="1024"/>
        </w:numPr>
        <w:pStyle w:val="Compact"/>
      </w:pPr>
      <w:r>
        <w:t xml:space="preserve">Explore opportunities for the product to operate on lower-carbon energy sources or optimize for regions with high renewable energy penetration.</w:t>
      </w:r>
    </w:p>
    <w:p>
      <w:pPr>
        <w:numPr>
          <w:ilvl w:val="0"/>
          <w:numId w:val="1023"/>
        </w:numPr>
        <w:pStyle w:val="Compact"/>
      </w:pPr>
      <w:r>
        <w:t xml:space="preserve">**Material Optimization &amp; Sustainable Sourcing:**</w:t>
      </w:r>
    </w:p>
    <w:p>
      <w:pPr>
        <w:numPr>
          <w:ilvl w:val="1"/>
          <w:numId w:val="1025"/>
        </w:numPr>
        <w:pStyle w:val="Compact"/>
      </w:pPr>
      <w:r>
        <w:t xml:space="preserve">Investigate alternative materials with lower embodied carbon for components like the Circuit Board and Aluminum Casing.</w:t>
      </w:r>
    </w:p>
    <w:p>
      <w:pPr>
        <w:numPr>
          <w:ilvl w:val="1"/>
          <w:numId w:val="1025"/>
        </w:numPr>
        <w:pStyle w:val="Compact"/>
      </w:pPr>
      <w:r>
        <w:t xml:space="preserve">Work with suppliers to source materials produced with higher renewable energy mixes or through low-carbon processes.</w:t>
      </w:r>
    </w:p>
    <w:p>
      <w:pPr>
        <w:numPr>
          <w:ilvl w:val="1"/>
          <w:numId w:val="1025"/>
        </w:numPr>
        <w:pStyle w:val="Compact"/>
      </w:pPr>
      <w:r>
        <w:t xml:space="preserve">Increase the proportion of recycled content in materials, especially aluminum and plastics.</w:t>
      </w:r>
    </w:p>
    <w:p>
      <w:pPr>
        <w:numPr>
          <w:ilvl w:val="0"/>
          <w:numId w:val="1023"/>
        </w:numPr>
        <w:pStyle w:val="Compact"/>
      </w:pPr>
      <w:r>
        <w:t xml:space="preserve">**Decarbonize Production:**</w:t>
      </w:r>
    </w:p>
    <w:p>
      <w:pPr>
        <w:numPr>
          <w:ilvl w:val="1"/>
          <w:numId w:val="1026"/>
        </w:numPr>
        <w:pStyle w:val="Compact"/>
      </w:pPr>
      <w:r>
        <w:t xml:space="preserve">Further increase the share of renewable energy used at the China production facility, aiming for 100% where feasible.</w:t>
      </w:r>
    </w:p>
    <w:p>
      <w:pPr>
        <w:numPr>
          <w:ilvl w:val="1"/>
          <w:numId w:val="1026"/>
        </w:numPr>
        <w:pStyle w:val="Compact"/>
      </w:pPr>
      <w:r>
        <w:t xml:space="preserve">Implement energy efficiency measures within the manufacturing process.</w:t>
      </w:r>
    </w:p>
    <w:p>
      <w:pPr>
        <w:numPr>
          <w:ilvl w:val="0"/>
          <w:numId w:val="1023"/>
        </w:numPr>
        <w:pStyle w:val="Compact"/>
      </w:pPr>
      <w:r>
        <w:t xml:space="preserve">**Strengthen Circular Economy Initiatives:**</w:t>
      </w:r>
    </w:p>
    <w:p>
      <w:pPr>
        <w:numPr>
          <w:ilvl w:val="1"/>
          <w:numId w:val="1027"/>
        </w:numPr>
        <w:pStyle w:val="Compact"/>
      </w:pPr>
      <w:r>
        <w:t xml:space="preserve">Expand and promote the</w:t>
      </w:r>
      <w:r>
        <w:t xml:space="preserve"> </w:t>
      </w:r>
      <w:r>
        <w:t xml:space="preserve">sntlezlkvm</w:t>
      </w:r>
      <w:r>
        <w:t xml:space="preserve"> </w:t>
      </w:r>
      <w:r>
        <w:t xml:space="preserve">circular/take-back programs to maximize product recovery and reuse.</w:t>
      </w:r>
    </w:p>
    <w:p>
      <w:pPr>
        <w:numPr>
          <w:ilvl w:val="1"/>
          <w:numId w:val="1027"/>
        </w:numPr>
        <w:pStyle w:val="Compact"/>
      </w:pPr>
      <w:r>
        <w:t xml:space="preserve">Optimize product design for easier disassembly, repair, and recycling to increase the effective recyclability rate beyond 70%.</w:t>
      </w:r>
    </w:p>
    <w:p>
      <w:pPr>
        <w:numPr>
          <w:ilvl w:val="0"/>
          <w:numId w:val="1023"/>
        </w:numPr>
        <w:pStyle w:val="Compact"/>
      </w:pPr>
      <w:r>
        <w:t xml:space="preserve">**Optimize Logistics:**</w:t>
      </w:r>
    </w:p>
    <w:p>
      <w:pPr>
        <w:numPr>
          <w:ilvl w:val="1"/>
          <w:numId w:val="1028"/>
        </w:numPr>
        <w:pStyle w:val="Compact"/>
      </w:pPr>
      <w:r>
        <w:t xml:space="preserve">Explore more carbon-efficient transport modes for both upstream and downstream logistics where possible (e.g., rail instead of road for longer distances in Europe).</w:t>
      </w:r>
    </w:p>
    <w:p>
      <w:pPr>
        <w:numPr>
          <w:ilvl w:val="1"/>
          <w:numId w:val="1028"/>
        </w:numPr>
        <w:pStyle w:val="Compact"/>
      </w:pPr>
      <w:r>
        <w:t xml:space="preserve">Optimize freight capacity utilization to reduce per-unit transport emissions.</w:t>
      </w:r>
    </w:p>
    <w:p>
      <w:pPr>
        <w:pStyle w:val="FirstParagraph"/>
      </w:pPr>
      <w:r>
        <w:t xml:space="preserve">Confidential - Internal Use Only | Page</w:t>
      </w:r>
      <w:r>
        <w:t xml:space="preserve"> </w:t>
      </w:r>
      <w:bookmarkStart w:id="50" w:name="page-number"/>
      <w:bookmarkEnd w:id="50"/>
      <w:r>
        <w:t xml:space="preserve"> </w:t>
      </w:r>
      <w:r>
        <w:t xml:space="preserve">of</w:t>
      </w:r>
      <w:r>
        <w:t xml:space="preserve"> </w:t>
      </w:r>
      <w:bookmarkStart w:id="51" w:name="total-pages"/>
      <w:bookmarkEnd w:id="51"/>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mowouksztk</dc:title>
  <dc:creator/>
  <dc:description>High-detail Product Carbon Footprint (PCF) analysis for mowouksztk, adhering to GHG Protocol and 2026 LSR update, performed by ujxkspgydy\'s Senior Sustainability Consultant eswhqhhmfi. This report assesses greenhouse gas emissions across the product\'s lifecycle.</dc:description>
  <dc:language>en</dc:language>
  <cp:keywords/>
  <dcterms:created xsi:type="dcterms:W3CDTF">2026-07-15T03:57:03Z</dcterms:created>
  <dcterms:modified xsi:type="dcterms:W3CDTF">2026-07-15T03:57:03Z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