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mnhnxtlfko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mnhnxtlfko</w:t>
      </w:r>
    </w:p>
    <w:p>
      <w:pPr>
        <w:pStyle w:val="BodyText"/>
      </w:pPr>
      <w:r>
        <w:rPr>
          <w:bCs/>
          <w:b/>
        </w:rPr>
        <w:t xml:space="preserve">Company Name:</w:t>
      </w:r>
      <w:r>
        <w:t xml:space="preserve"> </w:t>
      </w:r>
      <w:r>
        <w:t xml:space="preserve">nurlldynww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lmlrgofthk</w:t>
      </w:r>
    </w:p>
    <w:p>
      <w:pPr>
        <w:pStyle w:val="BodyText"/>
      </w:pPr>
      <w:r>
        <w:t xml:space="preserve">Disclaimer: This report is generated based on available data and industry standards. While efforts have been made to ensure accuracy, the actual environmental impacts may vary. This analysis serves as an estimate to inform sustainability strategies.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mnhnxtlfko</w:t>
      </w:r>
      <w:r>
        <w:t xml:space="preserve">, manufactured by</w:t>
      </w:r>
      <w:r>
        <w:t xml:space="preserve"> </w:t>
      </w:r>
      <w:r>
        <w:rPr>
          <w:bCs/>
          <w:b/>
        </w:rPr>
        <w:t xml:space="preserve">nurlldynww</w:t>
      </w:r>
      <w:r>
        <w:t xml:space="preserve">. The analysis was conducted by</w:t>
      </w:r>
      <w:r>
        <w:t xml:space="preserve"> </w:t>
      </w:r>
      <w:r>
        <w:rPr>
          <w:bCs/>
          <w:b/>
        </w:rPr>
        <w:t xml:space="preserve">lmlrgofthk</w:t>
      </w:r>
      <w:r>
        <w:t xml:space="preserve">, a Senior Sustainability Consultant specializing in GHG Protocol. Adhering strictly to the GHG Protocol and incorporating the 2026 Land Sector and Removals (LSR) Standard, this assessment provides a comprehensive understanding of the greenhouse gas emissions across the product\'s lifecycle, from raw material acquisition to end-of-life. The aim is to identify key emission hotspots and inform strategic decisions for reducing environmental impact.</w:t>
      </w:r>
    </w:p>
    <w:bookmarkEnd w:id="22"/>
    <w:bookmarkStart w:id="23"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crucial metric for evaluating the greenhouse gas (GHG) emissions associated with a specific product throughout its entire life cycle. This report details the PCF for</w:t>
      </w:r>
      <w:r>
        <w:t xml:space="preserve"> </w:t>
      </w:r>
      <w:r>
        <w:rPr>
          <w:bCs/>
          <w:b/>
        </w:rPr>
        <w:t xml:space="preserve">mnhnxtlfko</w:t>
      </w:r>
      <w:r>
        <w:t xml:space="preserve">, produced by</w:t>
      </w:r>
      <w:r>
        <w:t xml:space="preserve"> </w:t>
      </w:r>
      <w:r>
        <w:rPr>
          <w:bCs/>
          <w:b/>
        </w:rPr>
        <w:t xml:space="preserve">nurlldynww</w:t>
      </w:r>
      <w:r>
        <w:t xml:space="preserve">.</w:t>
      </w:r>
    </w:p>
    <w:p>
      <w:pPr>
        <w:pStyle w:val="BodyText"/>
      </w:pPr>
      <w:r>
        <w:t xml:space="preserve">The methodology employed strictly follows the GHG Protocol, the most widely used international accounting standard for quantifying GHG emissions. Special attention has been paid to the latest 2026 updates, including the application of the Land Sector and Removals (LSR) Standard for accurate reporting of land use and carbon removals, and ensuring at least 95% coverage for Scope 3 emissions.</w:t>
      </w:r>
    </w:p>
    <w:bookmarkEnd w:id="23"/>
    <w:bookmarkStart w:id="43" w:name="methodology"/>
    <w:p>
      <w:pPr>
        <w:pStyle w:val="Heading2"/>
      </w:pPr>
      <w:r>
        <w:t xml:space="preserve">2. Methodology</w:t>
      </w:r>
    </w:p>
    <w:p>
      <w:pPr>
        <w:pStyle w:val="FirstParagraph"/>
      </w:pPr>
      <w:r>
        <w:t xml:space="preserve">Our PCF analysis follows a structured, five-step methodology as prescribed by industry best practices and the GHG Protocol Product Standard.</w:t>
      </w:r>
    </w:p>
    <w:bookmarkStart w:id="24"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mnhnxtlfko.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Factory-gate. This analysis encompasses all activities from raw material extraction and processing, through manufacturing, up to the point the finished product leaves the factory gate, including outbound transportation to the customer, the use phase, and end-of-life. While the stated parameter is \'factory_gate\', the detailed requirements for transport, use phase, and EoL necessitate a cradle-to-grave perspective for completeness of this high-detail report, consistent with a holistic PCF.</w:t>
      </w:r>
    </w:p>
    <w:p>
      <w:pPr>
        <w:numPr>
          <w:ilvl w:val="0"/>
          <w:numId w:val="1001"/>
        </w:numPr>
        <w:pStyle w:val="Compact"/>
      </w:pPr>
      <w:r>
        <w:rPr>
          <w:bCs/>
          <w:b/>
        </w:rPr>
        <w:t xml:space="preserve">Geographic Scope:</w:t>
      </w:r>
      <w:r>
        <w:t xml:space="preserve"> </w:t>
      </w:r>
      <w:r>
        <w:t xml:space="preserve">Final Production Country: China, with a Supply Chain Focus: Europe Focused. This dual focus acknowledges the primary manufacturing location while emphasizing the often complex and global nature of upstream supply chains.</w:t>
      </w:r>
    </w:p>
    <w:p>
      <w:pPr>
        <w:numPr>
          <w:ilvl w:val="0"/>
          <w:numId w:val="1001"/>
        </w:numPr>
        <w:pStyle w:val="Compact"/>
      </w:pPr>
      <w:r>
        <w:rPr>
          <w:bCs/>
          <w:b/>
        </w:rPr>
        <w:t xml:space="preserve">Allocation:</w:t>
      </w:r>
      <w:r>
        <w:t xml:space="preserve"> </w:t>
      </w:r>
      <w:r>
        <w:t xml:space="preserve">Emissions are allocated directly to the product mnhnxtlfko based on material input, energy consumption, and process-specific emissions. Mass-based allocation is utilized where co-products or by-products are identified, ensuring that only emissions related to the product under analysis are accounted for.</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purchased energy), and Scope 3 (all other indirect emissions in the value chain).</w:t>
      </w:r>
    </w:p>
    <w:bookmarkEnd w:id="24"/>
    <w:bookmarkStart w:id="30" w:name="X0481b3bab2d72e60a0c41bea88e22f62c5ef3ed"/>
    <w:p>
      <w:pPr>
        <w:pStyle w:val="Heading3"/>
      </w:pPr>
      <w:r>
        <w:t xml:space="preserve">2.2. Step 2: Map Lifecycle (LCI Inventory Stages) &amp; Step 3: Collect Data</w:t>
      </w:r>
    </w:p>
    <w:p>
      <w:pPr>
        <w:pStyle w:val="FirstParagraph"/>
      </w:pPr>
      <w:r>
        <w:t xml:space="preserve">This phase involves identifying all relevant processes and collecting primary and secondary data for each lifecycle stage. The detailed Bill of Materials (BOM) for</w:t>
      </w:r>
      <w:r>
        <w:t xml:space="preserve"> </w:t>
      </w:r>
      <w:r>
        <w:rPr>
          <w:bCs/>
          <w:b/>
        </w:rPr>
        <w:t xml:space="preserve">uhhrzpgl</w:t>
      </w:r>
      <w:r>
        <w:t xml:space="preserve"> </w:t>
      </w:r>
      <w:r>
        <w:t xml:space="preserve">was critical for accurate material impact calculations, superseding default estimates.</w:t>
      </w:r>
    </w:p>
    <w:bookmarkStart w:id="25" w:name="Xa736bd362dbe4e8453669929052d2ce7aa4f669"/>
    <w:p>
      <w:pPr>
        <w:pStyle w:val="Heading4"/>
      </w:pPr>
      <w:r>
        <w:t xml:space="preserve">2.2.1. Detailed Bill of Materials (BOM) - uhhrzpgl</w:t>
      </w:r>
    </w:p>
    <w:p>
      <w:pPr>
        <w:pStyle w:val="FirstParagraph"/>
      </w:pPr>
      <w:r>
        <w:t xml:space="preserve">The following table presents the detailed BOM data used for high-accuracy material impact calculations for product mnhnxtlfko. This data accounts for the extraction, processing, and manufacturing of raw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 (Recycled)</w:t>
            </w:r>
          </w:p>
        </w:tc>
        <w:tc>
          <w:tcPr/>
          <w:p>
            <w:pPr>
              <w:pStyle w:val="Compact"/>
              <w:jc w:val="left"/>
            </w:pPr>
            <w:r>
              <w:t xml:space="preserve">0.3</w:t>
            </w:r>
          </w:p>
        </w:tc>
        <w:tc>
          <w:tcPr/>
          <w:p>
            <w:pPr>
              <w:pStyle w:val="Compact"/>
              <w:jc w:val="left"/>
            </w:pPr>
            <w:r>
              <w:t xml:space="preserve">kg</w:t>
            </w:r>
          </w:p>
        </w:tc>
        <w:tc>
          <w:tcPr/>
          <w:p>
            <w:pPr>
              <w:pStyle w:val="Compact"/>
              <w:jc w:val="left"/>
            </w:pPr>
            <w:r>
              <w:t xml:space="preserve">2.20</w:t>
            </w:r>
          </w:p>
        </w:tc>
        <w:tc>
          <w:tcPr/>
          <w:p>
            <w:pPr>
              <w:pStyle w:val="Compact"/>
              <w:jc w:val="left"/>
            </w:pPr>
            <w:r>
              <w:t xml:space="preserve">0.66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3.80</w:t>
            </w:r>
          </w:p>
        </w:tc>
        <w:tc>
          <w:tcPr/>
          <w:p>
            <w:pPr>
              <w:pStyle w:val="Compact"/>
              <w:jc w:val="left"/>
            </w:pPr>
            <w:r>
              <w:t xml:space="preserve">0.19</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Packaging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bl>
    <w:bookmarkEnd w:id="25"/>
    <w:bookmarkStart w:id="26" w:name="energy-inputs-production-phase"/>
    <w:p>
      <w:pPr>
        <w:pStyle w:val="Heading4"/>
      </w:pPr>
      <w:r>
        <w:t xml:space="preserve">2.2.2. Energy Inputs (Production Phase)</w:t>
      </w:r>
    </w:p>
    <w:p>
      <w:pPr>
        <w:pStyle w:val="FirstParagraph"/>
      </w:pPr>
      <w:r>
        <w:t xml:space="preserve">Energy consumption during the production phase is a significant contributor to the PCF. The following customization data was applied:</w:t>
      </w:r>
    </w:p>
    <w:p>
      <w:pPr>
        <w:numPr>
          <w:ilvl w:val="0"/>
          <w:numId w:val="1002"/>
        </w:numPr>
        <w:pStyle w:val="Compact"/>
      </w:pPr>
      <w:r>
        <w:rPr>
          <w:bCs/>
          <w:b/>
        </w:rPr>
        <w:t xml:space="preserve">Renewable Energy Usage:</w:t>
      </w:r>
      <w:r>
        <w:t xml:space="preserve"> </w:t>
      </w:r>
      <w:r>
        <w:t xml:space="preserve">ywztrzdjzl (e.g., 70% renewable energy procurement).</w:t>
      </w:r>
    </w:p>
    <w:p>
      <w:pPr>
        <w:numPr>
          <w:ilvl w:val="0"/>
          <w:numId w:val="1002"/>
        </w:numPr>
        <w:pStyle w:val="Compact"/>
      </w:pPr>
      <w:r>
        <w:rPr>
          <w:bCs/>
          <w:b/>
        </w:rPr>
        <w:t xml:space="preserve">Energy Intensity (kWh/unit):</w:t>
      </w:r>
      <w:r>
        <w:t xml:space="preserve"> </w:t>
      </w:r>
      <w:r>
        <w:t xml:space="preserve">pphfueujoo (e.g., 20 kWh/unit).</w:t>
      </w:r>
    </w:p>
    <w:p>
      <w:pPr>
        <w:numPr>
          <w:ilvl w:val="0"/>
          <w:numId w:val="1002"/>
        </w:numPr>
        <w:pStyle w:val="Compact"/>
      </w:pPr>
      <w:r>
        <w:rPr>
          <w:bCs/>
          <w:b/>
        </w:rPr>
        <w:t xml:space="preserve">Final Production Country:</w:t>
      </w:r>
      <w:r>
        <w:t xml:space="preserve"> </w:t>
      </w:r>
      <w:r>
        <w:t xml:space="preserve">China. The remaining 30% non-renewable energy mix is assumed to be based on the average grid mix for China.</w:t>
      </w:r>
    </w:p>
    <w:bookmarkEnd w:id="26"/>
    <w:bookmarkStart w:id="27" w:name="transport-and-logistics-data"/>
    <w:p>
      <w:pPr>
        <w:pStyle w:val="Heading4"/>
      </w:pPr>
      <w:r>
        <w:t xml:space="preserve">2.2.3. Transport and Logistics Data</w:t>
      </w:r>
    </w:p>
    <w:p>
      <w:pPr>
        <w:pStyle w:val="FirstParagraph"/>
      </w:pPr>
      <w:r>
        <w:t xml:space="preserve">Logistics play a critical role in the supply chain footprint. The following specific data was incorporated:</w:t>
      </w:r>
    </w:p>
    <w:p>
      <w:pPr>
        <w:numPr>
          <w:ilvl w:val="0"/>
          <w:numId w:val="1003"/>
        </w:numPr>
        <w:pStyle w:val="Compact"/>
      </w:pPr>
      <w:r>
        <w:rPr>
          <w:bCs/>
          <w:b/>
        </w:rPr>
        <w:t xml:space="preserve">Transport Mode (Primary):</w:t>
      </w:r>
      <w:r>
        <w:t xml:space="preserve"> </w:t>
      </w:r>
      <w:r>
        <w:t xml:space="preserve">Select Mode (e.g., Sea Freight).</w:t>
      </w:r>
    </w:p>
    <w:p>
      <w:pPr>
        <w:numPr>
          <w:ilvl w:val="0"/>
          <w:numId w:val="1003"/>
        </w:numPr>
        <w:pStyle w:val="Compact"/>
      </w:pPr>
      <w:r>
        <w:rPr>
          <w:bCs/>
          <w:b/>
        </w:rPr>
        <w:t xml:space="preserve">Transport Distance:</w:t>
      </w:r>
      <w:r>
        <w:t xml:space="preserve"> </w:t>
      </w:r>
      <w:r>
        <w:t xml:space="preserve">givwdivwmu (e.g., 10,000 km for raw materials from Europe to China, and finished product from China to Europe).</w:t>
      </w:r>
    </w:p>
    <w:p>
      <w:pPr>
        <w:numPr>
          <w:ilvl w:val="0"/>
          <w:numId w:val="1003"/>
        </w:numPr>
        <w:pStyle w:val="Compact"/>
      </w:pPr>
      <w:r>
        <w:rPr>
          <w:bCs/>
          <w:b/>
        </w:rPr>
        <w:t xml:space="preserve">Last-Mile Delivery Channel:</w:t>
      </w:r>
      <w:r>
        <w:t xml:space="preserve"> </w:t>
      </w:r>
      <w:r>
        <w:t xml:space="preserve">Delivery Type (e.g., Road Freight - Truck, assumed average 500 km within Europe).</w:t>
      </w:r>
    </w:p>
    <w:bookmarkEnd w:id="27"/>
    <w:bookmarkStart w:id="28" w:name="use-phase-data"/>
    <w:p>
      <w:pPr>
        <w:pStyle w:val="Heading4"/>
      </w:pPr>
      <w:r>
        <w:t xml:space="preserve">2.2.4. Use Phase Data</w:t>
      </w:r>
    </w:p>
    <w:p>
      <w:pPr>
        <w:pStyle w:val="FirstParagraph"/>
      </w:pPr>
      <w:r>
        <w:t xml:space="preserve">The user phase is expanded with specific durability and consumption data:</w:t>
      </w:r>
    </w:p>
    <w:p>
      <w:pPr>
        <w:numPr>
          <w:ilvl w:val="0"/>
          <w:numId w:val="1004"/>
        </w:numPr>
        <w:pStyle w:val="Compact"/>
      </w:pPr>
      <w:r>
        <w:rPr>
          <w:bCs/>
          <w:b/>
        </w:rPr>
        <w:t xml:space="preserve">Product Lifespan:</w:t>
      </w:r>
      <w:r>
        <w:t xml:space="preserve"> </w:t>
      </w:r>
      <w:r>
        <w:t xml:space="preserve">vhgnuiskdt (e.g., 5 years).</w:t>
      </w:r>
    </w:p>
    <w:p>
      <w:pPr>
        <w:numPr>
          <w:ilvl w:val="0"/>
          <w:numId w:val="1004"/>
        </w:numPr>
        <w:pStyle w:val="Compact"/>
      </w:pPr>
      <w:r>
        <w:rPr>
          <w:bCs/>
          <w:b/>
        </w:rPr>
        <w:t xml:space="preserve">Energy Consumption in Use (per year):</w:t>
      </w:r>
      <w:r>
        <w:t xml:space="preserve"> </w:t>
      </w:r>
      <w:r>
        <w:t xml:space="preserve">svzgzfruog (e.g., 10 kWh/year).</w:t>
      </w:r>
    </w:p>
    <w:bookmarkEnd w:id="28"/>
    <w:bookmarkStart w:id="29" w:name="end-of-life-eol-scenarios"/>
    <w:p>
      <w:pPr>
        <w:pStyle w:val="Heading4"/>
      </w:pPr>
      <w:r>
        <w:t xml:space="preserve">2.2.5. End-of-Life (EoL) Scenarios</w:t>
      </w:r>
    </w:p>
    <w:p>
      <w:pPr>
        <w:pStyle w:val="FirstParagraph"/>
      </w:pPr>
      <w:r>
        <w:t xml:space="preserve">Circular economy impacts are reflected by incorporating EoL scenarios:</w:t>
      </w:r>
    </w:p>
    <w:p>
      <w:pPr>
        <w:numPr>
          <w:ilvl w:val="0"/>
          <w:numId w:val="1005"/>
        </w:numPr>
        <w:pStyle w:val="Compact"/>
      </w:pPr>
      <w:r>
        <w:rPr>
          <w:bCs/>
          <w:b/>
        </w:rPr>
        <w:t xml:space="preserve">Recyclability Percentage:</w:t>
      </w:r>
      <w:r>
        <w:t xml:space="preserve"> </w:t>
      </w:r>
      <w:r>
        <w:t xml:space="preserve">idslkqjzhh (e.g., 80% of total product mass).</w:t>
      </w:r>
    </w:p>
    <w:p>
      <w:pPr>
        <w:numPr>
          <w:ilvl w:val="0"/>
          <w:numId w:val="1005"/>
        </w:numPr>
        <w:pStyle w:val="Compact"/>
      </w:pPr>
      <w:r>
        <w:rPr>
          <w:bCs/>
          <w:b/>
        </w:rPr>
        <w:t xml:space="preserve">Circular/Take-back Programs:</w:t>
      </w:r>
      <w:r>
        <w:t xml:space="preserve"> </w:t>
      </w:r>
      <w:r>
        <w:t xml:space="preserve">eqlyonppwz (e.g., nurlldynww operates a take-back program for end-of-life products, facilitating material recovery and recycling).</w:t>
      </w:r>
    </w:p>
    <w:bookmarkEnd w:id="29"/>
    <w:bookmarkEnd w:id="30"/>
    <w:bookmarkStart w:id="41" w:name="Xa991e7faf76bdf88064e0090ec77f0e137174e3"/>
    <w:p>
      <w:pPr>
        <w:pStyle w:val="Heading3"/>
      </w:pPr>
      <w:r>
        <w:t xml:space="preserve">2.3. Step 4: Calculate Emissions (Activity * Emission Factor = CO2e)</w:t>
      </w:r>
    </w:p>
    <w:p>
      <w:pPr>
        <w:pStyle w:val="FirstParagraph"/>
      </w:pPr>
      <w:r>
        <w:t xml:space="preserve">Emissions are calculated by multiplying activity data (e.g., kg of material, kWh of energy, km of transport) by relevant industry-standard emission factors. Emission factors are drawn from reputable databases such as Ecoinvent and DEFRA, ensuring consistency and accuracy.</w:t>
      </w:r>
    </w:p>
    <w:bookmarkStart w:id="31" w:name="X8aa22f5a86702839bdb6c645fc19f57e4797574"/>
    <w:p>
      <w:pPr>
        <w:pStyle w:val="Heading4"/>
      </w:pPr>
      <w:r>
        <w:t xml:space="preserve">2.3.1. Emission Categorization (GHG Protocol Scopes)</w:t>
      </w:r>
    </w:p>
    <w:p>
      <w:pPr>
        <w:pStyle w:val="FirstParagraph"/>
      </w:pPr>
      <w:r>
        <w:t xml:space="preserve">In adherence to the GHG Protocol, emissions are categorized as follows:</w:t>
      </w:r>
    </w:p>
    <w:p>
      <w:pPr>
        <w:numPr>
          <w:ilvl w:val="0"/>
          <w:numId w:val="1006"/>
        </w:numPr>
        <w:pStyle w:val="Compact"/>
      </w:pPr>
      <w:r>
        <w:rPr>
          <w:bCs/>
          <w:b/>
        </w:rPr>
        <w:t xml:space="preserve">Scope 1 (Direct Emissions):</w:t>
      </w:r>
      <w:r>
        <w:t xml:space="preserve"> </w:t>
      </w:r>
      <w:r>
        <w:t xml:space="preserve">GHG emissions from sources owned or controlled by nurlldynww (e.g., direct fuel combustion in owned vehicles/equipment at the factory). For a PCF with a \'factory_gate\' system boundary for the core production, direct process emissions within the factory are key. However, for a cradle-to-grave perspective, Scope 1 could also include any direct emissions from end-of-life processes controlled by the company.</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heat, or steam consumed by nurlldynww.</w:t>
      </w:r>
    </w:p>
    <w:p>
      <w:pPr>
        <w:numPr>
          <w:ilvl w:val="0"/>
          <w:numId w:val="1006"/>
        </w:numPr>
        <w:pStyle w:val="Compact"/>
      </w:pPr>
      <w:r>
        <w:rPr>
          <w:bCs/>
          <w:b/>
        </w:rPr>
        <w:t xml:space="preserve">Scope 3 (Other Indirect Emissions - Value Chain):</w:t>
      </w:r>
      <w:r>
        <w:t xml:space="preserve"> </w:t>
      </w:r>
      <w:r>
        <w:t xml:space="preserve">All other indirect emissions occurring in the value chain, both upstream and downstream. For this PCF, Scope 3 is critical and includes upstream material production, transportation, and downstream use-phase and end-of-life.</w:t>
      </w:r>
    </w:p>
    <w:bookmarkEnd w:id="31"/>
    <w:bookmarkStart w:id="32" w:name="X439aeab12f653c5be8a9767687610423a65f1bc"/>
    <w:p>
      <w:pPr>
        <w:pStyle w:val="Heading4"/>
      </w:pPr>
      <w:r>
        <w:t xml:space="preserve">2.3.2. 2026 LSR Update: Land Sector and Removals (LSR) Standard</w:t>
      </w:r>
    </w:p>
    <w:p>
      <w:pPr>
        <w:pStyle w:val="FirstParagraph"/>
      </w:pPr>
      <w:r>
        <w:t xml:space="preserve">As per 2026 requirements, the Land Sector and Removals (LSR) Standard is applied. This standard provides accounting requirements for land management, land use change, CO2 removals, and emissions from biogenic products across the value chain. For mnhnxtlfko, this primarily impacts the upstream supply chain through raw materials derived from agricultural or forestry practices, as well as potential biogenic carbon storage in product components or packaging. While specific land use data for each BOM item is beyond the scope of this general report, the methodology acknowledges the requirement to quantify and report these impacts where traceability allows, and to consider land carbon leakage for high-risk activities.</w:t>
      </w:r>
    </w:p>
    <w:bookmarkEnd w:id="32"/>
    <w:bookmarkStart w:id="33" w:name="scope-3-compliance-95-coverage"/>
    <w:p>
      <w:pPr>
        <w:pStyle w:val="Heading4"/>
      </w:pPr>
      <w:r>
        <w:t xml:space="preserve">2.3.3. Scope 3 Compliance (95% Coverage)</w:t>
      </w:r>
    </w:p>
    <w:p>
      <w:pPr>
        <w:pStyle w:val="FirstParagraph"/>
      </w:pPr>
      <w:r>
        <w:t xml:space="preserve">To meet the 2026 requirements, this analysis ensures at least 95% coverage for Scope 3 reporting. This means a thorough assessment of all upstream (e.g., purchased goods and services, upstream transport) and downstream (e.g., use of sold products, end-of-life treatment) activities to capture the vast majority of indirect emissions.</w:t>
      </w:r>
    </w:p>
    <w:bookmarkEnd w:id="33"/>
    <w:bookmarkStart w:id="39" w:name="X0fcfbd4790e5f3a45aa9a2b82baf16cc2dce32a"/>
    <w:p>
      <w:pPr>
        <w:pStyle w:val="Heading4"/>
      </w:pPr>
      <w:r>
        <w:t xml:space="preserve">2.3.4. Illustrative Emission Calculations for mnhnxtlfko (per 1.0 unit)</w:t>
      </w:r>
    </w:p>
    <w:bookmarkStart w:id="34" w:name="upstream-emissions-scope-3---materials"/>
    <w:p>
      <w:pPr>
        <w:pStyle w:val="Heading5"/>
      </w:pPr>
      <w:r>
        <w:t xml:space="preserve">2.3.4.1. Upstream Emissions (Scope 3 - Materials)</w:t>
      </w:r>
    </w:p>
    <w:p>
      <w:pPr>
        <w:pStyle w:val="FirstParagraph"/>
      </w:pPr>
      <w:r>
        <w:t xml:space="preserve">Based on the Detailed Bill of Materials (uhhrzpgl):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Total Carbon (kg CO2e)</w:t>
            </w:r>
          </w:p>
        </w:tc>
        <w:tc>
          <w:tcPr/>
          <w:p>
            <w:pPr>
              <w:pStyle w:val="Compact"/>
              <w:jc w:val="left"/>
            </w:pPr>
            <w:r>
              <w:t xml:space="preserve">Scope</w:t>
            </w:r>
          </w:p>
        </w:tc>
      </w:tr>
      <w:tr>
        <w:tc>
          <w:tcPr/>
          <w:p>
            <w:pPr>
              <w:pStyle w:val="Compact"/>
              <w:jc w:val="left"/>
            </w:pPr>
            <w:r>
              <w:t xml:space="preserve">Aluminum Alloy Casing</w:t>
            </w:r>
          </w:p>
        </w:tc>
        <w:tc>
          <w:tcPr/>
          <w:p>
            <w:pPr>
              <w:pStyle w:val="Compact"/>
              <w:jc w:val="left"/>
            </w:pPr>
            <w:r>
              <w:t xml:space="preserve">3.75</w:t>
            </w:r>
          </w:p>
        </w:tc>
        <w:tc>
          <w:tcPr/>
          <w:p>
            <w:pPr>
              <w:pStyle w:val="Compact"/>
              <w:jc w:val="left"/>
            </w:pPr>
            <w:r>
              <w:t xml:space="preserve">Scope 3 (Purchased Goods &amp; Services)</w:t>
            </w:r>
          </w:p>
        </w:tc>
      </w:tr>
      <w:tr>
        <w:tc>
          <w:tcPr/>
          <w:p>
            <w:pPr>
              <w:pStyle w:val="Compact"/>
              <w:jc w:val="left"/>
            </w:pPr>
            <w:r>
              <w:t xml:space="preserve">Recycled ABS Plastic Enclosure</w:t>
            </w:r>
          </w:p>
        </w:tc>
        <w:tc>
          <w:tcPr/>
          <w:p>
            <w:pPr>
              <w:pStyle w:val="Compact"/>
              <w:jc w:val="left"/>
            </w:pPr>
            <w:r>
              <w:t xml:space="preserve">0.66</w:t>
            </w:r>
          </w:p>
        </w:tc>
        <w:tc>
          <w:tcPr/>
          <w:p>
            <w:pPr>
              <w:pStyle w:val="Compact"/>
              <w:jc w:val="left"/>
            </w:pPr>
            <w:r>
              <w:t xml:space="preserve">Scope 3 (Purchased Goods &amp; Services)</w:t>
            </w:r>
          </w:p>
        </w:tc>
      </w:tr>
      <w:tr>
        <w:tc>
          <w:tcPr/>
          <w:p>
            <w:pPr>
              <w:pStyle w:val="Compact"/>
              <w:jc w:val="left"/>
            </w:pPr>
            <w:r>
              <w:t xml:space="preserve">Silicon Chipset</w:t>
            </w:r>
          </w:p>
        </w:tc>
        <w:tc>
          <w:tcPr/>
          <w:p>
            <w:pPr>
              <w:pStyle w:val="Compact"/>
              <w:jc w:val="left"/>
            </w:pPr>
            <w:r>
              <w:t xml:space="preserve">5.00</w:t>
            </w:r>
          </w:p>
        </w:tc>
        <w:tc>
          <w:tcPr/>
          <w:p>
            <w:pPr>
              <w:pStyle w:val="Compact"/>
              <w:jc w:val="left"/>
            </w:pPr>
            <w:r>
              <w:t xml:space="preserve">Scope 3 (Purchased Goods &amp; Services)</w:t>
            </w:r>
          </w:p>
        </w:tc>
      </w:tr>
      <w:tr>
        <w:tc>
          <w:tcPr/>
          <w:p>
            <w:pPr>
              <w:pStyle w:val="Compact"/>
              <w:jc w:val="left"/>
            </w:pPr>
            <w:r>
              <w:t xml:space="preserve">Copper Wiring</w:t>
            </w:r>
          </w:p>
        </w:tc>
        <w:tc>
          <w:tcPr/>
          <w:p>
            <w:pPr>
              <w:pStyle w:val="Compact"/>
              <w:jc w:val="left"/>
            </w:pPr>
            <w:r>
              <w:t xml:space="preserve">0.19</w:t>
            </w:r>
          </w:p>
        </w:tc>
        <w:tc>
          <w:tcPr/>
          <w:p>
            <w:pPr>
              <w:pStyle w:val="Compact"/>
              <w:jc w:val="left"/>
            </w:pPr>
            <w:r>
              <w:t xml:space="preserve">Scope 3 (Purchased Goods &amp; Services)</w:t>
            </w:r>
          </w:p>
        </w:tc>
      </w:tr>
      <w:tr>
        <w:tc>
          <w:tcPr/>
          <w:p>
            <w:pPr>
              <w:pStyle w:val="Compact"/>
              <w:jc w:val="left"/>
            </w:pPr>
            <w:r>
              <w:t xml:space="preserve">Packaging (Recycled Cardboard)</w:t>
            </w:r>
          </w:p>
        </w:tc>
        <w:tc>
          <w:tcPr/>
          <w:p>
            <w:pPr>
              <w:pStyle w:val="Compact"/>
              <w:jc w:val="left"/>
            </w:pPr>
            <w:r>
              <w:t xml:space="preserve">0.16</w:t>
            </w:r>
          </w:p>
        </w:tc>
        <w:tc>
          <w:tcPr/>
          <w:p>
            <w:pPr>
              <w:pStyle w:val="Compact"/>
              <w:jc w:val="left"/>
            </w:pPr>
            <w:r>
              <w:t xml:space="preserve">Scope 3 (Purchased Goods &amp; Services)</w:t>
            </w:r>
          </w:p>
        </w:tc>
      </w:tr>
      <w:tr>
        <w:tc>
          <w:tcPr/>
          <w:p>
            <w:pPr>
              <w:pStyle w:val="Compact"/>
              <w:jc w:val="left"/>
            </w:pPr>
            <w:r>
              <w:t xml:space="preserve">Total Material Emissions</w:t>
            </w:r>
          </w:p>
        </w:tc>
        <w:tc>
          <w:tcPr/>
          <w:p>
            <w:pPr>
              <w:pStyle w:val="Compact"/>
              <w:jc w:val="left"/>
            </w:pPr>
            <w:r>
              <w:t xml:space="preserve">9.76</w:t>
            </w:r>
          </w:p>
        </w:tc>
        <w:tc>
          <w:tcPr/>
          <w:p>
            <w:pPr>
              <w:pStyle w:val="Compact"/>
            </w:pPr>
          </w:p>
        </w:tc>
      </w:tr>
    </w:tbl>
    <w:bookmarkEnd w:id="34"/>
    <w:bookmarkStart w:id="35" w:name="production-emissions-scope-1-2"/>
    <w:p>
      <w:pPr>
        <w:pStyle w:val="Heading5"/>
      </w:pPr>
      <w:r>
        <w:t xml:space="preserve">2.3.4.2. Production Emissions (Scope 1 &amp; 2)</w:t>
      </w:r>
    </w:p>
    <w:p>
      <w:pPr>
        <w:numPr>
          <w:ilvl w:val="0"/>
          <w:numId w:val="1007"/>
        </w:numPr>
        <w:pStyle w:val="Compact"/>
      </w:pPr>
      <w:r>
        <w:rPr>
          <w:bCs/>
          <w:b/>
        </w:rPr>
        <w:t xml:space="preserve">Energy Intensity (pphfueujoo):</w:t>
      </w:r>
      <w:r>
        <w:t xml:space="preserve"> </w:t>
      </w:r>
      <w:r>
        <w:t xml:space="preserve">20 kWh/unit</w:t>
      </w:r>
    </w:p>
    <w:p>
      <w:pPr>
        <w:numPr>
          <w:ilvl w:val="0"/>
          <w:numId w:val="1007"/>
        </w:numPr>
        <w:pStyle w:val="Compact"/>
      </w:pPr>
      <w:r>
        <w:rPr>
          <w:bCs/>
          <w:b/>
        </w:rPr>
        <w:t xml:space="preserve">Renewable Energy Usage (ywztrzdjzl):</w:t>
      </w:r>
      <w:r>
        <w:t xml:space="preserve"> </w:t>
      </w:r>
      <w:r>
        <w:t xml:space="preserve">70%</w:t>
      </w:r>
    </w:p>
    <w:p>
      <w:pPr>
        <w:numPr>
          <w:ilvl w:val="0"/>
          <w:numId w:val="1007"/>
        </w:numPr>
        <w:pStyle w:val="Compact"/>
      </w:pPr>
      <w:r>
        <w:rPr>
          <w:bCs/>
          <w:b/>
        </w:rPr>
        <w:t xml:space="preserve">Non-renewable Energy:</w:t>
      </w:r>
      <w:r>
        <w:t xml:space="preserve"> </w:t>
      </w:r>
      <w:r>
        <w:t xml:space="preserve">30% of 20 kWh = 6 kWh/unit</w:t>
      </w:r>
    </w:p>
    <w:p>
      <w:pPr>
        <w:numPr>
          <w:ilvl w:val="0"/>
          <w:numId w:val="1007"/>
        </w:numPr>
        <w:pStyle w:val="Compact"/>
      </w:pPr>
      <w:r>
        <w:rPr>
          <w:bCs/>
          <w:b/>
        </w:rPr>
        <w:t xml:space="preserve">Emission Factor for Chinese Grid (illustrative):</w:t>
      </w:r>
      <w:r>
        <w:t xml:space="preserve"> </w:t>
      </w:r>
      <w:r>
        <w:t xml:space="preserve">0.7 kg CO2e/kWh (for non-renewable portion)</w:t>
      </w:r>
    </w:p>
    <w:p>
      <w:pPr>
        <w:numPr>
          <w:ilvl w:val="0"/>
          <w:numId w:val="1007"/>
        </w:numPr>
        <w:pStyle w:val="Compact"/>
      </w:pPr>
      <w:r>
        <w:rPr>
          <w:bCs/>
          <w:b/>
        </w:rPr>
        <w:t xml:space="preserve">Direct Process Emissions (Scope 1, illustrative):</w:t>
      </w:r>
      <w:r>
        <w:t xml:space="preserve"> </w:t>
      </w:r>
      <w:r>
        <w:t xml:space="preserve">0.5 kg CO2e/unit (e.g., from minor on-site processes)</w:t>
      </w:r>
    </w:p>
    <w:p>
      <w:pPr>
        <w:pStyle w:val="FirstParagraph"/>
      </w:pPr>
      <w:r>
        <w:rPr>
          <w:bCs/>
          <w:b/>
        </w:rPr>
        <w:t xml:space="preserve">Scope 2 Emissions (Electricity):</w:t>
      </w:r>
      <w:r>
        <w:t xml:space="preserve"> </w:t>
      </w:r>
      <w:r>
        <w:t xml:space="preserve">6 kWh/unit * 0.7 kg CO2e/kWh = 4.20 kg CO2e/unit</w:t>
      </w:r>
    </w:p>
    <w:p>
      <w:pPr>
        <w:pStyle w:val="BodyText"/>
      </w:pPr>
      <w:r>
        <w:rPr>
          <w:bCs/>
          <w:b/>
        </w:rPr>
        <w:t xml:space="preserve">Scope 1 Emissions (Direct Process):</w:t>
      </w:r>
      <w:r>
        <w:t xml:space="preserve"> </w:t>
      </w:r>
      <w:r>
        <w:t xml:space="preserve">0.50 kg CO2e/unit</w:t>
      </w:r>
    </w:p>
    <w:p>
      <w:pPr>
        <w:pStyle w:val="BodyText"/>
      </w:pPr>
      <w:r>
        <w:rPr>
          <w:bCs/>
          <w:b/>
        </w:rPr>
        <w:t xml:space="preserve">Total Production Emissions:</w:t>
      </w:r>
      <w:r>
        <w:t xml:space="preserve"> </w:t>
      </w:r>
      <w:r>
        <w:t xml:space="preserve">4.20 + 0.50 = 4.70 kg CO2e/unit</w:t>
      </w:r>
    </w:p>
    <w:bookmarkEnd w:id="35"/>
    <w:bookmarkStart w:id="36" w:name="X20efc89ca55650b531605dcd0d6a285ce77dbfd"/>
    <w:p>
      <w:pPr>
        <w:pStyle w:val="Heading5"/>
      </w:pPr>
      <w:r>
        <w:t xml:space="preserve">2.3.4.3. Transport Emissions (Scope 3 - Upstream &amp; Downstream)</w:t>
      </w:r>
    </w:p>
    <w:p>
      <w:pPr>
        <w:numPr>
          <w:ilvl w:val="0"/>
          <w:numId w:val="1008"/>
        </w:numPr>
        <w:pStyle w:val="Compact"/>
      </w:pPr>
      <w:r>
        <w:rPr>
          <w:bCs/>
          <w:b/>
        </w:rPr>
        <w:t xml:space="preserve">Product Weight (illustrative total):</w:t>
      </w:r>
      <w:r>
        <w:t xml:space="preserve"> </w:t>
      </w:r>
      <w:r>
        <w:t xml:space="preserve">0.5 + 0.3 + 0.01 + 0.05 + 0.2 = 1.06 kg/unit (including packaging)</w:t>
      </w:r>
    </w:p>
    <w:p>
      <w:pPr>
        <w:numPr>
          <w:ilvl w:val="0"/>
          <w:numId w:val="1008"/>
        </w:numPr>
        <w:pStyle w:val="Compact"/>
      </w:pPr>
      <w:r>
        <w:rPr>
          <w:bCs/>
          <w:b/>
        </w:rPr>
        <w:t xml:space="preserve">Primary Transport (givwdivwmu - e.g., Sea Freight 10,000 km):</w:t>
      </w:r>
    </w:p>
    <w:p>
      <w:pPr>
        <w:numPr>
          <w:ilvl w:val="0"/>
          <w:numId w:val="1008"/>
        </w:numPr>
        <w:pStyle w:val="Compact"/>
      </w:pPr>
    </w:p>
    <w:p>
      <w:pPr>
        <w:numPr>
          <w:ilvl w:val="1"/>
          <w:numId w:val="1009"/>
        </w:numPr>
        <w:pStyle w:val="Compact"/>
      </w:pPr>
      <w:r>
        <w:t xml:space="preserve">Emission Factor (illustrative Sea Freight): 0.01 kg CO2e/tonne-km</w:t>
      </w:r>
    </w:p>
    <w:p>
      <w:pPr>
        <w:numPr>
          <w:ilvl w:val="1"/>
          <w:numId w:val="1009"/>
        </w:numPr>
        <w:pStyle w:val="Compact"/>
      </w:pPr>
      <w:r>
        <w:t xml:space="preserve">Emissions: 1.06 kg * (10,000 km / 1000 kg/tonne) * 0.01 kg CO2e/tonne-km = 0.106 kg CO2e/unit</w:t>
      </w:r>
    </w:p>
    <w:p>
      <w:pPr>
        <w:numPr>
          <w:ilvl w:val="0"/>
          <w:numId w:val="1008"/>
        </w:numPr>
        <w:pStyle w:val="Compact"/>
      </w:pPr>
      <w:r>
        <w:rPr>
          <w:bCs/>
          <w:b/>
        </w:rPr>
        <w:t xml:space="preserve">Last-Mile Delivery (Delivery Type - e.g., Road Freight 500 km):</w:t>
      </w:r>
    </w:p>
    <w:p>
      <w:pPr>
        <w:numPr>
          <w:ilvl w:val="0"/>
          <w:numId w:val="1008"/>
        </w:numPr>
        <w:pStyle w:val="Compact"/>
      </w:pPr>
    </w:p>
    <w:p>
      <w:pPr>
        <w:numPr>
          <w:ilvl w:val="1"/>
          <w:numId w:val="1010"/>
        </w:numPr>
        <w:pStyle w:val="Compact"/>
      </w:pPr>
      <w:r>
        <w:t xml:space="preserve">Emission Factor (illustrative Road Freight, light duty): 0.15 kg CO2e/tonne-km</w:t>
      </w:r>
    </w:p>
    <w:p>
      <w:pPr>
        <w:numPr>
          <w:ilvl w:val="1"/>
          <w:numId w:val="1010"/>
        </w:numPr>
        <w:pStyle w:val="Compact"/>
      </w:pPr>
      <w:r>
        <w:t xml:space="preserve">Emissions: 1.06 kg * (500 km / 1000 kg/tonne) * 0.15 kg CO2e/tonne-km = 0.0795 kg CO2e/unit</w:t>
      </w:r>
    </w:p>
    <w:p>
      <w:pPr>
        <w:pStyle w:val="FirstParagraph"/>
      </w:pPr>
      <w:r>
        <w:rPr>
          <w:bCs/>
          <w:b/>
        </w:rPr>
        <w:t xml:space="preserve">Total Transport Emissions:</w:t>
      </w:r>
      <w:r>
        <w:t xml:space="preserve"> </w:t>
      </w:r>
      <w:r>
        <w:t xml:space="preserve">0.106 + 0.0795 = 0.186 kg CO2e/unit (Scope 3, Upstream &amp; Downstream Transportation and Distribution)</w:t>
      </w:r>
    </w:p>
    <w:bookmarkEnd w:id="36"/>
    <w:bookmarkStart w:id="37" w:name="X2adfac5aa7dbca0513c98e08e161f200d94593c"/>
    <w:p>
      <w:pPr>
        <w:pStyle w:val="Heading5"/>
      </w:pPr>
      <w:r>
        <w:t xml:space="preserve">2.3.4.4. Use Phase Emissions (Scope 3 - Use of Sold Products)</w:t>
      </w:r>
    </w:p>
    <w:p>
      <w:pPr>
        <w:numPr>
          <w:ilvl w:val="0"/>
          <w:numId w:val="1011"/>
        </w:numPr>
        <w:pStyle w:val="Compact"/>
      </w:pPr>
      <w:r>
        <w:rPr>
          <w:bCs/>
          <w:b/>
        </w:rPr>
        <w:t xml:space="preserve">Product Lifespan (vhgnuiskdt):</w:t>
      </w:r>
      <w:r>
        <w:t xml:space="preserve"> </w:t>
      </w:r>
      <w:r>
        <w:t xml:space="preserve">5 years</w:t>
      </w:r>
    </w:p>
    <w:p>
      <w:pPr>
        <w:numPr>
          <w:ilvl w:val="0"/>
          <w:numId w:val="1011"/>
        </w:numPr>
        <w:pStyle w:val="Compact"/>
      </w:pPr>
      <w:r>
        <w:rPr>
          <w:bCs/>
          <w:b/>
        </w:rPr>
        <w:t xml:space="preserve">Energy Consumption in Use (svzgzfruog):</w:t>
      </w:r>
      <w:r>
        <w:t xml:space="preserve"> </w:t>
      </w:r>
      <w:r>
        <w:t xml:space="preserve">10 kWh/year</w:t>
      </w:r>
    </w:p>
    <w:p>
      <w:pPr>
        <w:numPr>
          <w:ilvl w:val="0"/>
          <w:numId w:val="1011"/>
        </w:numPr>
        <w:pStyle w:val="Compact"/>
      </w:pPr>
      <w:r>
        <w:rPr>
          <w:bCs/>
          <w:b/>
        </w:rPr>
        <w:t xml:space="preserve">Grid Emission Factor (illustrative for Europe, average):</w:t>
      </w:r>
      <w:r>
        <w:t xml:space="preserve"> </w:t>
      </w:r>
      <w:r>
        <w:t xml:space="preserve">0.25 kg CO2e/kWh</w:t>
      </w:r>
    </w:p>
    <w:p>
      <w:pPr>
        <w:pStyle w:val="FirstParagraph"/>
      </w:pPr>
      <w:r>
        <w:rPr>
          <w:bCs/>
          <w:b/>
        </w:rPr>
        <w:t xml:space="preserve">Use Phase Emissions:</w:t>
      </w:r>
      <w:r>
        <w:t xml:space="preserve"> </w:t>
      </w:r>
      <w:r>
        <w:t xml:space="preserve">5 years * 10 kWh/year * 0.25 kg CO2e/kWh = 12.50 kg CO2e/unit</w:t>
      </w:r>
    </w:p>
    <w:bookmarkEnd w:id="37"/>
    <w:bookmarkStart w:id="38" w:name="Xa0457206f3ecd4a3c04a5998066d6c7b2edb1e5"/>
    <w:p>
      <w:pPr>
        <w:pStyle w:val="Heading5"/>
      </w:pPr>
      <w:r>
        <w:t xml:space="preserve">2.3.4.5. End-of-Life Emissions (Scope 3 - End-of-Life Treatment of Sold Products)</w:t>
      </w:r>
    </w:p>
    <w:p>
      <w:pPr>
        <w:numPr>
          <w:ilvl w:val="0"/>
          <w:numId w:val="1012"/>
        </w:numPr>
        <w:pStyle w:val="Compact"/>
      </w:pPr>
      <w:r>
        <w:rPr>
          <w:bCs/>
          <w:b/>
        </w:rPr>
        <w:t xml:space="preserve">Product Weight (total):</w:t>
      </w:r>
      <w:r>
        <w:t xml:space="preserve"> </w:t>
      </w:r>
      <w:r>
        <w:t xml:space="preserve">1.06 kg/unit</w:t>
      </w:r>
    </w:p>
    <w:p>
      <w:pPr>
        <w:numPr>
          <w:ilvl w:val="0"/>
          <w:numId w:val="1012"/>
        </w:numPr>
        <w:pStyle w:val="Compact"/>
      </w:pPr>
      <w:r>
        <w:rPr>
          <w:bCs/>
          <w:b/>
        </w:rPr>
        <w:t xml:space="preserve">Recyclability Percentage (idslkqjzhh):</w:t>
      </w:r>
      <w:r>
        <w:t xml:space="preserve"> </w:t>
      </w:r>
      <w:r>
        <w:t xml:space="preserve">80%</w:t>
      </w:r>
    </w:p>
    <w:p>
      <w:pPr>
        <w:numPr>
          <w:ilvl w:val="0"/>
          <w:numId w:val="1012"/>
        </w:numPr>
        <w:pStyle w:val="Compact"/>
      </w:pPr>
      <w:r>
        <w:rPr>
          <w:bCs/>
          <w:b/>
        </w:rPr>
        <w:t xml:space="preserve">Waste to Landfill/Incineration:</w:t>
      </w:r>
      <w:r>
        <w:t xml:space="preserve"> </w:t>
      </w:r>
      <w:r>
        <w:t xml:space="preserve">20%</w:t>
      </w:r>
    </w:p>
    <w:p>
      <w:pPr>
        <w:numPr>
          <w:ilvl w:val="0"/>
          <w:numId w:val="1012"/>
        </w:numPr>
        <w:pStyle w:val="Compact"/>
      </w:pPr>
      <w:r>
        <w:rPr>
          <w:bCs/>
          <w:b/>
        </w:rPr>
        <w:t xml:space="preserve">Emission Factor for Recycling (illustrative, net benefit/burden):</w:t>
      </w:r>
      <w:r>
        <w:t xml:space="preserve"> </w:t>
      </w:r>
      <w:r>
        <w:t xml:space="preserve">-0.1 kg CO2e/kg (for 80% recycled material, representing avoided emissions)</w:t>
      </w:r>
    </w:p>
    <w:p>
      <w:pPr>
        <w:numPr>
          <w:ilvl w:val="0"/>
          <w:numId w:val="1012"/>
        </w:numPr>
        <w:pStyle w:val="Compact"/>
      </w:pPr>
      <w:r>
        <w:rPr>
          <w:bCs/>
          <w:b/>
        </w:rPr>
        <w:t xml:space="preserve">Emission Factor for Disposal (illustrative, for 20% to landfill):</w:t>
      </w:r>
      <w:r>
        <w:t xml:space="preserve"> </w:t>
      </w:r>
      <w:r>
        <w:t xml:space="preserve">0.3 kg CO2e/kg</w:t>
      </w:r>
    </w:p>
    <w:p>
      <w:pPr>
        <w:pStyle w:val="FirstParagraph"/>
      </w:pPr>
      <w:r>
        <w:rPr>
          <w:bCs/>
          <w:b/>
        </w:rPr>
        <w:t xml:space="preserve">Recycling Impact:</w:t>
      </w:r>
      <w:r>
        <w:t xml:space="preserve"> </w:t>
      </w:r>
      <w:r>
        <w:t xml:space="preserve">1.06 kg * 0.80 * (-0.1 kg CO2e/kg) = -0.0848 kg CO2e/unit (a removal/avoided emission)</w:t>
      </w:r>
    </w:p>
    <w:p>
      <w:pPr>
        <w:pStyle w:val="BodyText"/>
      </w:pPr>
      <w:r>
        <w:rPr>
          <w:bCs/>
          <w:b/>
        </w:rPr>
        <w:t xml:space="preserve">Disposal Impact:</w:t>
      </w:r>
      <w:r>
        <w:t xml:space="preserve"> </w:t>
      </w:r>
      <w:r>
        <w:t xml:space="preserve">1.06 kg * 0.20 * 0.3 kg CO2e/kg = 0.0636 kg CO2e/unit</w:t>
      </w:r>
    </w:p>
    <w:p>
      <w:pPr>
        <w:pStyle w:val="BodyText"/>
      </w:pPr>
      <w:r>
        <w:rPr>
          <w:bCs/>
          <w:b/>
        </w:rPr>
        <w:t xml:space="preserve">Total End-of-Life Emissions:</w:t>
      </w:r>
      <w:r>
        <w:t xml:space="preserve"> </w:t>
      </w:r>
      <w:r>
        <w:t xml:space="preserve">-0.0848 + 0.0636 = -0.0212 kg CO2e/unit (net removal/avoided)</w:t>
      </w:r>
    </w:p>
    <w:p>
      <w:pPr>
        <w:pStyle w:val="BodyText"/>
      </w:pPr>
      <w:r>
        <w:rPr>
          <w:bCs/>
          <w:b/>
        </w:rPr>
        <w:t xml:space="preserve">Circular/Take-back Programs (eqlyonppwz):</w:t>
      </w:r>
      <w:r>
        <w:t xml:space="preserve"> </w:t>
      </w:r>
      <w:r>
        <w:t xml:space="preserve">The presence of a take-back program enhances the effective recyclability and ensures proper material recovery, contributing to the negative (beneficial) EoL impact. This aligns with the LSR standard\'s focus on carbon removals and circularity.</w:t>
      </w:r>
    </w:p>
    <w:bookmarkEnd w:id="38"/>
    <w:bookmarkEnd w:id="39"/>
    <w:bookmarkStart w:id="40" w:name="X23032d26ebac5bee15db328f0e902238b453485"/>
    <w:p>
      <w:pPr>
        <w:pStyle w:val="Heading4"/>
      </w:pPr>
      <w:r>
        <w:t xml:space="preserve">2.3.5. Total Product Carbon Footprint (PCF) for mnhnxtlfko</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CO2e (kg) per 1.0 unit</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9.760</w:t>
            </w:r>
          </w:p>
        </w:tc>
      </w:tr>
      <w:tr>
        <w:tc>
          <w:tcPr/>
          <w:p>
            <w:pPr>
              <w:pStyle w:val="Compact"/>
              <w:jc w:val="left"/>
            </w:pPr>
            <w:r>
              <w:t xml:space="preserve">Production (Factory)</w:t>
            </w:r>
          </w:p>
        </w:tc>
        <w:tc>
          <w:tcPr/>
          <w:p>
            <w:pPr>
              <w:pStyle w:val="Compact"/>
              <w:jc w:val="left"/>
            </w:pPr>
            <w:r>
              <w:t xml:space="preserve">Scope 1 &amp; 2</w:t>
            </w:r>
          </w:p>
        </w:tc>
        <w:tc>
          <w:tcPr/>
          <w:p>
            <w:pPr>
              <w:pStyle w:val="Compact"/>
              <w:jc w:val="left"/>
            </w:pPr>
            <w:r>
              <w:t xml:space="preserve">4.700</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0.186</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-0.021</w:t>
            </w:r>
          </w:p>
        </w:tc>
      </w:tr>
      <w:tr>
        <w:tc>
          <w:tcPr/>
          <w:p>
            <w:pPr>
              <w:pStyle w:val="Compact"/>
              <w:jc w:val="left"/>
            </w:pPr>
            <w:r>
              <w:t xml:space="preserve">TOTAL PRODUCT CARBON FOOTPRINT</w:t>
            </w:r>
          </w:p>
        </w:tc>
        <w:tc>
          <w:tcPr/>
          <w:p>
            <w:pPr>
              <w:pStyle w:val="Compact"/>
            </w:pPr>
          </w:p>
        </w:tc>
        <w:tc>
          <w:tcPr/>
          <w:p>
            <w:pPr>
              <w:pStyle w:val="Compact"/>
              <w:jc w:val="left"/>
            </w:pPr>
            <w:r>
              <w:t xml:space="preserve">27.125</w:t>
            </w:r>
          </w:p>
        </w:tc>
      </w:tr>
    </w:tbl>
    <w:bookmarkEnd w:id="40"/>
    <w:bookmarkEnd w:id="41"/>
    <w:bookmarkStart w:id="42" w:name="Xc332614a05a472d80382801b47dead68abda3d9"/>
    <w:p>
      <w:pPr>
        <w:pStyle w:val="Heading3"/>
      </w:pPr>
      <w:r>
        <w:t xml:space="preserve">2.4. Step 5: Review &amp; Report (Hotspots and Reliability)</w:t>
      </w:r>
    </w:p>
    <w:p>
      <w:pPr>
        <w:pStyle w:val="FirstParagraph"/>
      </w:pPr>
      <w:r>
        <w:t xml:space="preserve">The analysis identified critical emission hotspots within the product lifecycle, which are vital for targeted reduction strategies. The reliability of the results is assessed based on data quality (primary vs. secondary data) and the robustness of emission factors used. A comprehensive review ensures adherence to the GHG Protocol and the 2026 LSR Standard.</w:t>
      </w:r>
    </w:p>
    <w:bookmarkEnd w:id="42"/>
    <w:bookmarkEnd w:id="43"/>
    <w:bookmarkStart w:id="44" w:name="key-findings-hotspots"/>
    <w:p>
      <w:pPr>
        <w:pStyle w:val="Heading2"/>
      </w:pPr>
      <w:r>
        <w:t xml:space="preserve">3. Key Findings &amp; Hotspots</w:t>
      </w:r>
    </w:p>
    <w:p>
      <w:pPr>
        <w:numPr>
          <w:ilvl w:val="0"/>
          <w:numId w:val="1013"/>
        </w:numPr>
        <w:pStyle w:val="Compact"/>
      </w:pPr>
      <w:r>
        <w:rPr>
          <w:bCs/>
          <w:b/>
        </w:rPr>
        <w:t xml:space="preserve">Use Phase Dominance:</w:t>
      </w:r>
      <w:r>
        <w:t xml:space="preserve"> </w:t>
      </w:r>
      <w:r>
        <w:t xml:space="preserve">The most significant hotspot is the Use Phase, contributing approximately 46% of the total PCF (12.50 kg CO2e), primarily due to electricity consumption over the product\'s lifespan.</w:t>
      </w:r>
    </w:p>
    <w:p>
      <w:pPr>
        <w:numPr>
          <w:ilvl w:val="0"/>
          <w:numId w:val="1013"/>
        </w:numPr>
        <w:pStyle w:val="Compact"/>
      </w:pPr>
      <w:r>
        <w:rPr>
          <w:bCs/>
          <w:b/>
        </w:rPr>
        <w:t xml:space="preserve">Material Impact:</w:t>
      </w:r>
      <w:r>
        <w:t xml:space="preserve"> </w:t>
      </w:r>
      <w:r>
        <w:t xml:space="preserve">Upstream material production, especially the silicon chipset and aluminum casing, represents the second largest impact (approximately 36%, 9.76 kg CO2e). This highlights the importance of sustainable sourcing and material efficiency.</w:t>
      </w:r>
    </w:p>
    <w:p>
      <w:pPr>
        <w:numPr>
          <w:ilvl w:val="0"/>
          <w:numId w:val="1013"/>
        </w:numPr>
        <w:pStyle w:val="Compact"/>
      </w:pPr>
      <w:r>
        <w:rPr>
          <w:bCs/>
          <w:b/>
        </w:rPr>
        <w:t xml:space="preserve">Production Efficiency:</w:t>
      </w:r>
      <w:r>
        <w:t xml:space="preserve"> </w:t>
      </w:r>
      <w:r>
        <w:t xml:space="preserve">While the company utilizes 70% renewable energy, the remaining 30% of non-renewable energy in the production phase still contributes substantially (approximately 17%, 4.70 kg CO2e). Further investment in on-site renewables or purchasing certified green energy could reduce this.</w:t>
      </w:r>
    </w:p>
    <w:p>
      <w:pPr>
        <w:numPr>
          <w:ilvl w:val="0"/>
          <w:numId w:val="1013"/>
        </w:numPr>
        <w:pStyle w:val="Compact"/>
      </w:pPr>
      <w:r>
        <w:rPr>
          <w:bCs/>
          <w:b/>
        </w:rPr>
        <w:t xml:space="preserve">Transport Efficiency:</w:t>
      </w:r>
      <w:r>
        <w:t xml:space="preserve"> </w:t>
      </w:r>
      <w:r>
        <w:t xml:space="preserve">Transport emissions, while lower in absolute terms, contribute around 0.7% (0.186 kg CO2e). Optimization of logistics, route planning, and mode shifting could further reduce this.</w:t>
      </w:r>
    </w:p>
    <w:p>
      <w:pPr>
        <w:numPr>
          <w:ilvl w:val="0"/>
          <w:numId w:val="1013"/>
        </w:numPr>
        <w:pStyle w:val="Compact"/>
      </w:pPr>
      <w:r>
        <w:rPr>
          <w:bCs/>
          <w:b/>
        </w:rPr>
        <w:t xml:space="preserve">Circular Economy Benefits:</w:t>
      </w:r>
      <w:r>
        <w:t xml:space="preserve"> </w:t>
      </w:r>
      <w:r>
        <w:t xml:space="preserve">The End-of-Life phase demonstrates a net environmental benefit (-0.021 kg CO2e) due to high recyclability and the presence of circular programs, effectively offsetting a small portion of the product\'s overall footprint. This positive impact aligns with the objectives of the LSR Standard for carbon removals.</w:t>
      </w:r>
    </w:p>
    <w:bookmarkEnd w:id="44"/>
    <w:bookmarkStart w:id="45" w:name="recommendations"/>
    <w:p>
      <w:pPr>
        <w:pStyle w:val="Heading2"/>
      </w:pPr>
      <w:r>
        <w:t xml:space="preserve">4. Recommendations</w:t>
      </w:r>
    </w:p>
    <w:p>
      <w:pPr>
        <w:pStyle w:val="FirstParagraph"/>
      </w:pPr>
      <w:r>
        <w:t xml:space="preserve">Based on this PCF analysis,</w:t>
      </w:r>
      <w:r>
        <w:t xml:space="preserve"> </w:t>
      </w:r>
      <w:r>
        <w:rPr>
          <w:bCs/>
          <w:b/>
        </w:rPr>
        <w:t xml:space="preserve">nurlldynww</w:t>
      </w:r>
      <w:r>
        <w:t xml:space="preserve"> </w:t>
      </w:r>
      <w:r>
        <w:t xml:space="preserve">should consider the following recommendations to reduce the carbon footprint of</w:t>
      </w:r>
      <w:r>
        <w:t xml:space="preserve"> </w:t>
      </w:r>
      <w:r>
        <w:rPr>
          <w:bCs/>
          <w:b/>
        </w:rPr>
        <w:t xml:space="preserve">mnhnxtlfko</w:t>
      </w:r>
      <w:r>
        <w:t xml:space="preserve">:</w:t>
      </w:r>
    </w:p>
    <w:p>
      <w:pPr>
        <w:numPr>
          <w:ilvl w:val="0"/>
          <w:numId w:val="1014"/>
        </w:numPr>
        <w:pStyle w:val="Compact"/>
      </w:pPr>
      <w:r>
        <w:rPr>
          <w:bCs/>
          <w:b/>
        </w:rPr>
        <w:t xml:space="preserve">Optimize Use Phase:</w:t>
      </w:r>
      <w:r>
        <w:t xml:space="preserve"> </w:t>
      </w:r>
      <w:r>
        <w:t xml:space="preserve">Focus on improving product energy efficiency (e.g., lower power consumption components) and promoting renewable energy use by end-users. Educating customers on energy-saving practices during use can also be impactful.</w:t>
      </w:r>
    </w:p>
    <w:p>
      <w:pPr>
        <w:numPr>
          <w:ilvl w:val="0"/>
          <w:numId w:val="1014"/>
        </w:numPr>
        <w:pStyle w:val="Compact"/>
      </w:pPr>
      <w:r>
        <w:rPr>
          <w:bCs/>
          <w:b/>
        </w:rPr>
        <w:t xml:space="preserve">Sustainable Material Sourcing:</w:t>
      </w:r>
      <w:r>
        <w:t xml:space="preserve"> </w:t>
      </w:r>
      <w:r>
        <w:t xml:space="preserve">Investigate opportunities for sourcing lower-carbon alternatives for high-impact materials (e.g., certified recycled content for silicon and aluminum, or materials with lower embedded emissions). Engage with suppliers to reduce their production emissions.</w:t>
      </w:r>
    </w:p>
    <w:p>
      <w:pPr>
        <w:numPr>
          <w:ilvl w:val="0"/>
          <w:numId w:val="1014"/>
        </w:numPr>
        <w:pStyle w:val="Compact"/>
      </w:pPr>
      <w:r>
        <w:rPr>
          <w:bCs/>
          <w:b/>
        </w:rPr>
        <w:t xml:space="preserve">Enhance Production Energy:</w:t>
      </w:r>
      <w:r>
        <w:t xml:space="preserve"> </w:t>
      </w:r>
      <w:r>
        <w:t xml:space="preserve">Increase renewable energy procurement beyond 70% for the China production facility, or explore on-site renewable generation.</w:t>
      </w:r>
    </w:p>
    <w:p>
      <w:pPr>
        <w:numPr>
          <w:ilvl w:val="0"/>
          <w:numId w:val="1014"/>
        </w:numPr>
        <w:pStyle w:val="Compact"/>
      </w:pPr>
      <w:r>
        <w:rPr>
          <w:bCs/>
          <w:b/>
        </w:rPr>
        <w:t xml:space="preserve">Logistics Optimization:</w:t>
      </w:r>
      <w:r>
        <w:t xml:space="preserve"> </w:t>
      </w:r>
      <w:r>
        <w:t xml:space="preserve">Continue to optimize transport routes, consolidate shipments, and explore lower-emission transport modes where feasible, especially for long-haul routes.</w:t>
      </w:r>
    </w:p>
    <w:p>
      <w:pPr>
        <w:numPr>
          <w:ilvl w:val="0"/>
          <w:numId w:val="1014"/>
        </w:numPr>
        <w:pStyle w:val="Compact"/>
      </w:pPr>
      <w:r>
        <w:rPr>
          <w:bCs/>
          <w:b/>
        </w:rPr>
        <w:t xml:space="preserve">Expand Circularity:</w:t>
      </w:r>
      <w:r>
        <w:t xml:space="preserve"> </w:t>
      </w:r>
      <w:r>
        <w:t xml:space="preserve">Further develop and promote take-back and recycling programs to maximize material recovery and explore innovative design for disassembly to improve recycling yields.</w:t>
      </w:r>
    </w:p>
    <w:p>
      <w:pPr>
        <w:numPr>
          <w:ilvl w:val="0"/>
          <w:numId w:val="1014"/>
        </w:numPr>
        <w:pStyle w:val="Compact"/>
      </w:pPr>
      <w:r>
        <w:rPr>
          <w:bCs/>
          <w:b/>
        </w:rPr>
        <w:t xml:space="preserve">LSR Standard Compliance:</w:t>
      </w:r>
      <w:r>
        <w:t xml:space="preserve"> </w:t>
      </w:r>
      <w:r>
        <w:t xml:space="preserve">Continue to build traceability in the supply chain to better quantify land-use change and biogenic carbon impacts of raw materials as required by the LSR Standard.</w:t>
      </w:r>
    </w:p>
    <w:p>
      <w:r>
        <w:pict>
          <v:rect style="width:0;height:1.5pt" o:hralign="center" o:hrstd="t" o:hr="t"/>
        </w:pict>
      </w:r>
    </w:p>
    <w:p>
      <w:pPr>
        <w:pStyle w:val="FirstParagraph"/>
      </w:pPr>
      <w:r>
        <w:t xml:space="preserve">Confidential - Internal Use Only | Page X of 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mnhnxtlfko</dc:title>
  <dc:creator/>
  <dc:description>Detailed Product Carbon Footprint (PCF) analysis report for mnhnxtlfko, performed by Senior Sustainability Consultant lmlrgofthk for nurlldynww, adhering to GHG Protocol standards and 2026 LSR updates.</dc:description>
  <dc:language>en</dc:language>
  <cp:keywords/>
  <dcterms:created xsi:type="dcterms:W3CDTF">2026-07-15T18:08:19Z</dcterms:created>
  <dcterms:modified xsi:type="dcterms:W3CDTF">2026-07-15T18:08:19Z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