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mnhltdxfvk</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mnhltdxfvk"/>
    <w:p>
      <w:pPr>
        <w:pStyle w:val="Heading2"/>
      </w:pPr>
      <w:r>
        <w:t xml:space="preserve">Product: mnhltdxfvk</w:t>
      </w:r>
    </w:p>
    <w:p>
      <w:pPr>
        <w:pStyle w:val="FirstParagraph"/>
      </w:pPr>
      <w:r>
        <w:rPr>
          <w:bCs/>
          <w:b/>
        </w:rPr>
        <w:t xml:space="preserve">Company Name:</w:t>
      </w:r>
      <w:r>
        <w:t xml:space="preserve"> </w:t>
      </w:r>
      <w:r>
        <w:t xml:space="preserve">rlwswvesln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slwzoggxtr</w:t>
      </w:r>
    </w:p>
    <w:p>
      <w:pPr>
        <w:pStyle w:val="BodyText"/>
      </w:pPr>
      <w:r>
        <w:t xml:space="preserve">Disclaimer: This report is generated based on available data and industry standards. Due to the nature of placeholder parameters provided, some emission factors and data are illustrative and based on plausible estimations to demonstrate the methodology and calculations. Actual primary data collection would enhance accuracy.</w:t>
      </w:r>
    </w:p>
    <w:bookmarkEnd w:id="20"/>
    <w:bookmarkEnd w:id="21"/>
    <w:bookmarkStart w:id="22" w:name="product-carbon-footprint-analysis-report"/>
    <w:p>
      <w:pPr>
        <w:pStyle w:val="Heading1"/>
      </w:pPr>
      <w:r>
        <w:t xml:space="preserve">Product Carbon Footprint Analysis Report</w:t>
      </w:r>
    </w:p>
    <w:p>
      <w:pPr>
        <w:pStyle w:val="FirstParagraph"/>
      </w:pPr>
      <w:r>
        <w:t xml:space="preserve">Product: mnhltdxfvk</w:t>
      </w:r>
    </w:p>
    <w:p>
      <w:pPr>
        <w:pStyle w:val="BodyText"/>
      </w:pPr>
      <w:r>
        <w:t xml:space="preserve">Generated Date: May 20, 2026</w:t>
      </w:r>
    </w:p>
    <w:p>
      <w:pPr>
        <w:pStyle w:val="BodyText"/>
      </w:pPr>
      <w:r>
        <w:t xml:space="preserve">Senior Sustainability Consultant: slwzoggxtr</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"mnhltdxfvk" manufactured by rlwswvesln. The analysis adheres strictly to the GHG Protocol, including the 2026 Land Sector and Removals (LSR) Standard update, and aims for at least 95% coverage for Scope 3 emissions. The functional unit for this analysis is 1.0 unit of mnhltdxfvk, with a system boundary defined as "factory_gate" and a geographic scope focused on China for final production and Europe for supply chain and use phases. The total Product Carbon Footprint for mnhltdxfvk is calculated to be</w:t>
      </w:r>
      <w:r>
        <w:t xml:space="preserve"> </w:t>
      </w:r>
      <w:r>
        <w:rPr>
          <w:bCs/>
          <w:b/>
        </w:rPr>
        <w:t xml:space="preserve">12.70 kg CO₂e per unit</w:t>
      </w:r>
      <w:r>
        <w:t xml:space="preserve">, with the Use Phase being the most significant contributor. The report identifies key emission hotspots across the product lifecycle and provides a detailed breakdown of emissions by GHG Protocol scope and category.</w:t>
      </w:r>
    </w:p>
    <w:bookmarkEnd w:id="23"/>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The Product Carbon Footprint (PCF) analysis for mnhltdxfvk follows the five-step methodology prescribed by leading industry standards:</w:t>
      </w:r>
    </w:p>
    <w:p>
      <w:pPr>
        <w:numPr>
          <w:ilvl w:val="0"/>
          <w:numId w:val="1001"/>
        </w:numPr>
        <w:pStyle w:val="Compact"/>
      </w:pPr>
      <w:r>
        <w:rPr>
          <w:bCs/>
          <w:b/>
        </w:rPr>
        <w:t xml:space="preserve">Define Scope:</w:t>
      </w:r>
      <w:r>
        <w:t xml:space="preserve"> </w:t>
      </w:r>
      <w:r>
        <w:t xml:space="preserve">Establishing the boundaries and parameters of the study.</w:t>
      </w:r>
    </w:p>
    <w:p>
      <w:pPr>
        <w:numPr>
          <w:ilvl w:val="0"/>
          <w:numId w:val="1001"/>
        </w:numPr>
        <w:pStyle w:val="Compact"/>
      </w:pPr>
      <w:r>
        <w:rPr>
          <w:bCs/>
          <w:b/>
        </w:rPr>
        <w:t xml:space="preserve">Map Lifecycle:</w:t>
      </w:r>
      <w:r>
        <w:t xml:space="preserve"> </w:t>
      </w:r>
      <w:r>
        <w:t xml:space="preserve">Identifying all relevant stages in the product\'s life.</w:t>
      </w:r>
    </w:p>
    <w:p>
      <w:pPr>
        <w:numPr>
          <w:ilvl w:val="0"/>
          <w:numId w:val="1001"/>
        </w:numPr>
        <w:pStyle w:val="Compact"/>
      </w:pPr>
      <w:r>
        <w:rPr>
          <w:bCs/>
          <w:b/>
        </w:rPr>
        <w:t xml:space="preserve">Collect Data:</w:t>
      </w:r>
      <w:r>
        <w:t xml:space="preserve"> </w:t>
      </w:r>
      <w:r>
        <w:t xml:space="preserve">Gathering primary and secondary data for each lifecycle stage.</w:t>
      </w:r>
    </w:p>
    <w:p>
      <w:pPr>
        <w:numPr>
          <w:ilvl w:val="0"/>
          <w:numId w:val="1001"/>
        </w:numPr>
        <w:pStyle w:val="Compact"/>
      </w:pPr>
      <w:r>
        <w:rPr>
          <w:bCs/>
          <w:b/>
        </w:rPr>
        <w:t xml:space="preserve">Calculate Emissions:</w:t>
      </w:r>
      <w:r>
        <w:t xml:space="preserve"> </w:t>
      </w:r>
      <w:r>
        <w:t xml:space="preserve">Quantifying Greenhouse Gas (GHG) emissions.</w:t>
      </w:r>
    </w:p>
    <w:p>
      <w:pPr>
        <w:numPr>
          <w:ilvl w:val="0"/>
          <w:numId w:val="1001"/>
        </w:numPr>
        <w:pStyle w:val="Compact"/>
      </w:pPr>
      <w:r>
        <w:rPr>
          <w:bCs/>
          <w:b/>
        </w:rPr>
        <w:t xml:space="preserve">Review &amp; Report:</w:t>
      </w:r>
      <w:r>
        <w:t xml:space="preserve"> </w:t>
      </w:r>
      <w:r>
        <w:t xml:space="preserve">Analyzing results, identifying hotspots, and ensuring reliability.</w:t>
      </w:r>
    </w:p>
    <w:bookmarkStart w:id="24"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1.0 unit of mnhltdxfvk.</w:t>
      </w:r>
    </w:p>
    <w:p>
      <w:pPr>
        <w:numPr>
          <w:ilvl w:val="0"/>
          <w:numId w:val="1002"/>
        </w:numPr>
        <w:pStyle w:val="Compact"/>
      </w:pPr>
      <w:r>
        <w:rPr>
          <w:bCs/>
          <w:b/>
        </w:rPr>
        <w:t xml:space="preserve">System Boundary:</w:t>
      </w:r>
      <w:r>
        <w:t xml:space="preserve"> </w:t>
      </w:r>
      <w:r>
        <w:t xml:space="preserve">Cradle-to-grave, with a primary focus on "factory_gate" for direct operational control. However, a full lifecycle assessment (LCA) approach is applied to quantify upstream and downstream Scope 3 emissions.</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(implies significant transport to and within Europe).</w:t>
      </w:r>
    </w:p>
    <w:p>
      <w:pPr>
        <w:numPr>
          <w:ilvl w:val="0"/>
          <w:numId w:val="1002"/>
        </w:numPr>
        <w:pStyle w:val="Compact"/>
      </w:pPr>
      <w:r>
        <w:rPr>
          <w:bCs/>
          <w:b/>
        </w:rPr>
        <w:t xml:space="preserve">Accounting Standard:</w:t>
      </w:r>
      <w:r>
        <w:t xml:space="preserve"> </w:t>
      </w:r>
      <w:r>
        <w:t xml:space="preserve">GHG Protocol Product Standard and Corporate Value Chain (Scope 3) Accounting and Reporting Standard. The 2026 Land Sector and Removals (LSR) Standard is applied for relevant land use and carbon removal considerations.</w:t>
      </w:r>
    </w:p>
    <w:p>
      <w:pPr>
        <w:numPr>
          <w:ilvl w:val="0"/>
          <w:numId w:val="1002"/>
        </w:numPr>
        <w:pStyle w:val="Compact"/>
      </w:pPr>
      <w:r>
        <w:rPr>
          <w:bCs/>
          <w:b/>
        </w:rPr>
        <w:t xml:space="preserve">Allocation:</w:t>
      </w:r>
      <w:r>
        <w:t xml:space="preserve"> </w:t>
      </w:r>
      <w:r>
        <w:t xml:space="preserve">Mass-based allocation is used for shared processes where applicable.</w:t>
      </w:r>
    </w:p>
    <w:bookmarkEnd w:id="24"/>
    <w:bookmarkEnd w:id="25"/>
    <w:p>
      <w:r>
        <w:pict>
          <v:rect style="width:0;height:1.5pt" o:hralign="center" o:hrstd="t" o:hr="t"/>
        </w:pict>
      </w:r>
    </w:p>
    <w:bookmarkStart w:id="31" w:name="lifecycle-mapping-lci-inventory-stages"/>
    <w:p>
      <w:pPr>
        <w:pStyle w:val="Heading2"/>
      </w:pPr>
      <w:r>
        <w:t xml:space="preserve">2. Lifecycle Mapping (LCI Inventory Stages)</w:t>
      </w:r>
    </w:p>
    <w:p>
      <w:pPr>
        <w:pStyle w:val="FirstParagraph"/>
      </w:pPr>
      <w:r>
        <w:t xml:space="preserve">The lifecycle of mnhltdxfvk is mapped across five main stages:</w:t>
      </w:r>
    </w:p>
    <w:p>
      <w:pPr>
        <w:numPr>
          <w:ilvl w:val="0"/>
          <w:numId w:val="1004"/>
        </w:numPr>
        <w:pStyle w:val="Compact"/>
      </w:pPr>
      <w:r>
        <w:rPr>
          <w:bCs/>
          <w:b/>
        </w:rPr>
        <w:t xml:space="preserve">Material Acquisition &amp; Pre-processing:</w:t>
      </w:r>
      <w:r>
        <w:t xml:space="preserve"> </w:t>
      </w:r>
      <w:r>
        <w:t xml:space="preserve">Extraction and initial processing of raw materials.</w:t>
      </w:r>
    </w:p>
    <w:p>
      <w:pPr>
        <w:numPr>
          <w:ilvl w:val="0"/>
          <w:numId w:val="1004"/>
        </w:numPr>
        <w:pStyle w:val="Compact"/>
      </w:pPr>
      <w:r>
        <w:rPr>
          <w:bCs/>
          <w:b/>
        </w:rPr>
        <w:t xml:space="preserve">Manufacturing:</w:t>
      </w:r>
      <w:r>
        <w:t xml:space="preserve"> </w:t>
      </w:r>
      <w:r>
        <w:t xml:space="preserve">Production and assembly of the product at rlwswvesln\'s facility.</w:t>
      </w:r>
    </w:p>
    <w:p>
      <w:pPr>
        <w:numPr>
          <w:ilvl w:val="0"/>
          <w:numId w:val="1004"/>
        </w:numPr>
        <w:pStyle w:val="Compact"/>
      </w:pPr>
      <w:r>
        <w:rPr>
          <w:bCs/>
          <w:b/>
        </w:rPr>
        <w:t xml:space="preserve">Transportation &amp; Distribution:</w:t>
      </w:r>
      <w:r>
        <w:t xml:space="preserve"> </w:t>
      </w:r>
      <w:r>
        <w:t xml:space="preserve">Movement of raw materials to the factory and finished products to the customer.</w:t>
      </w:r>
    </w:p>
    <w:p>
      <w:pPr>
        <w:numPr>
          <w:ilvl w:val="0"/>
          <w:numId w:val="1004"/>
        </w:numPr>
        <w:pStyle w:val="Compact"/>
      </w:pPr>
      <w:r>
        <w:rPr>
          <w:bCs/>
          <w:b/>
        </w:rPr>
        <w:t xml:space="preserve">Use Phase:</w:t>
      </w:r>
      <w:r>
        <w:t xml:space="preserve"> </w:t>
      </w:r>
      <w:r>
        <w:t xml:space="preserve">Energy consumption and typical usage patterns during the product\'s lifespan.</w:t>
      </w:r>
    </w:p>
    <w:p>
      <w:pPr>
        <w:numPr>
          <w:ilvl w:val="0"/>
          <w:numId w:val="1004"/>
        </w:numPr>
        <w:pStyle w:val="Compact"/>
      </w:pPr>
      <w:r>
        <w:rPr>
          <w:bCs/>
          <w:b/>
        </w:rPr>
        <w:t xml:space="preserve">End-of-Life (EoL) Treatment:</w:t>
      </w:r>
      <w:r>
        <w:t xml:space="preserve"> </w:t>
      </w:r>
      <w:r>
        <w:t xml:space="preserve">Disposal, recycling, or recovery processes at the end of the product\'s life.</w:t>
      </w:r>
    </w:p>
    <w:bookmarkStart w:id="26" w:name="detailed-bill-of-materials-bom-data"/>
    <w:p>
      <w:pPr>
        <w:pStyle w:val="Heading3"/>
      </w:pPr>
      <w:r>
        <w:t xml:space="preserve">2.1. Detailed Bill of Materials (BOM) Data</w:t>
      </w:r>
    </w:p>
    <w:p>
      <w:pPr>
        <w:pStyle w:val="FirstParagraph"/>
      </w:pPr>
      <w:r>
        <w:t xml:space="preserve">The following detailed Bill of Materials (BOM) was provided as "ddjeuhyd" and used for material impact calculation. Emission Factors (EFs) are sourced from industry-standard databases (e.g., Ecoinvent, DEFRA) or are plausibly estimated where specific direct values for the exact process were unavailable.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4.90 (Avg. plastic lifecycle)</w:t>
            </w:r>
          </w:p>
        </w:tc>
        <w:tc>
          <w:tcPr/>
          <w:p>
            <w:pPr>
              <w:pStyle w:val="Compact"/>
              <w:jc w:val="left"/>
            </w:pPr>
            <w:r>
              <w:t xml:space="preserve">0.490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 (Estimated for complex electronics)</w:t>
            </w:r>
          </w:p>
        </w:tc>
        <w:tc>
          <w:tcPr/>
          <w:p>
            <w:pPr>
              <w:pStyle w:val="Compact"/>
              <w:jc w:val="left"/>
            </w:pPr>
            <w:r>
              <w:t xml:space="preserve">0.750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Refinement</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 (Estimated for Copper)</w:t>
            </w:r>
          </w:p>
        </w:tc>
        <w:tc>
          <w:tcPr/>
          <w:p>
            <w:pPr>
              <w:pStyle w:val="Compact"/>
              <w:jc w:val="left"/>
            </w:pPr>
            <w:r>
              <w:t xml:space="preserve">0.060</w:t>
            </w:r>
          </w:p>
        </w:tc>
      </w:tr>
      <w:tr>
        <w:tc>
          <w:tcPr>
            <w:gridSpan w:val="7"/>
          </w:tcPr>
          <w:p>
            <w:pPr>
              <w:pStyle w:val="Compact"/>
              <w:jc w:val="right"/>
            </w:pPr>
            <w:r>
              <w:rPr>
                <w:bCs/>
                <w:b/>
              </w:rPr>
              <w:t xml:space="preserve">Total Material Emissions:</w:t>
            </w:r>
          </w:p>
        </w:tc>
        <w:tc>
          <w:tcPr/>
          <w:p>
            <w:pPr>
              <w:pStyle w:val="Compact"/>
              <w:jc w:val="left"/>
            </w:pPr>
            <w:r>
              <w:rPr>
                <w:bCs/>
                <w:b/>
              </w:rPr>
              <w:t xml:space="preserve">4.254</w:t>
            </w:r>
          </w:p>
        </w:tc>
      </w:tr>
    </w:tbl>
    <w:p>
      <w:pPr>
        <w:pStyle w:val="BodyText"/>
      </w:pPr>
      <w:r>
        <w:rPr>
          <w:iCs/>
          <w:i/>
        </w:rPr>
        <w:t xml:space="preserve">Note: The Emission Factors for "Circuit Board (PCB)" and "Copper Wiring" are illustrative estimates as specific, publicly available EFs for these detailed processes were not directly found within the provided search results. The plastic EF is based on an average plastic lifecycle without recycling, as per search results.</w:t>
      </w:r>
    </w:p>
    <w:bookmarkEnd w:id="26"/>
    <w:bookmarkStart w:id="27" w:name="energy-inputs-for-production"/>
    <w:p>
      <w:pPr>
        <w:pStyle w:val="Heading3"/>
      </w:pPr>
      <w:r>
        <w:t xml:space="preserve">2.2. Energy Inputs for Production</w:t>
      </w:r>
    </w:p>
    <w:p>
      <w:pPr>
        <w:numPr>
          <w:ilvl w:val="0"/>
          <w:numId w:val="1005"/>
        </w:numPr>
        <w:pStyle w:val="Compact"/>
      </w:pPr>
      <w:r>
        <w:rPr>
          <w:bCs/>
          <w:b/>
        </w:rPr>
        <w:t xml:space="preserve">Energy Intensity (kWh/unit):</w:t>
      </w:r>
      <w:r>
        <w:t xml:space="preserve"> </w:t>
      </w:r>
      <w:r>
        <w:t xml:space="preserve">kprutpfvhs = 5.0 kWh/unit.</w:t>
      </w:r>
    </w:p>
    <w:p>
      <w:pPr>
        <w:numPr>
          <w:ilvl w:val="0"/>
          <w:numId w:val="1005"/>
        </w:numPr>
        <w:pStyle w:val="Compact"/>
      </w:pPr>
      <w:r>
        <w:rPr>
          <w:bCs/>
          <w:b/>
        </w:rPr>
        <w:t xml:space="preserve">Renewable Energy Usage (krrvtuqzuj):</w:t>
      </w:r>
      <w:r>
        <w:t xml:space="preserve"> </w:t>
      </w:r>
      <w:r>
        <w:t xml:space="preserve">70%. This signifies that 70% of the purchased electricity for manufacturing is from renewable sources (e.g., via renewable energy certificates or direct purchase agreements). The remaining 30% is sourced from the conventional grid.</w:t>
      </w:r>
    </w:p>
    <w:p>
      <w:pPr>
        <w:numPr>
          <w:ilvl w:val="0"/>
          <w:numId w:val="1005"/>
        </w:numPr>
        <w:pStyle w:val="Compact"/>
      </w:pPr>
      <w:r>
        <w:rPr>
          <w:bCs/>
          <w:b/>
        </w:rPr>
        <w:t xml:space="preserve">Geographic Location of Production:</w:t>
      </w:r>
      <w:r>
        <w:t xml:space="preserve"> </w:t>
      </w:r>
      <w:r>
        <w:t xml:space="preserve">China.</w:t>
      </w:r>
    </w:p>
    <w:bookmarkEnd w:id="27"/>
    <w:bookmarkStart w:id="28" w:name="logistics-data"/>
    <w:p>
      <w:pPr>
        <w:pStyle w:val="Heading3"/>
      </w:pPr>
      <w:r>
        <w:t xml:space="preserve">2.3. Logistics Data</w:t>
      </w:r>
    </w:p>
    <w:p>
      <w:pPr>
        <w:numPr>
          <w:ilvl w:val="0"/>
          <w:numId w:val="1006"/>
        </w:numPr>
        <w:pStyle w:val="Compact"/>
      </w:pPr>
      <w:r>
        <w:rPr>
          <w:bCs/>
          <w:b/>
        </w:rPr>
        <w:t xml:space="preserve">Transport Mode (Raw Materials Inbound):</w:t>
      </w:r>
      <w:r>
        <w:t xml:space="preserve"> </w:t>
      </w:r>
      <w:r>
        <w:t xml:space="preserve">Ocean Freight (Container Ship) from various global suppliers to China.</w:t>
      </w:r>
    </w:p>
    <w:p>
      <w:pPr>
        <w:numPr>
          <w:ilvl w:val="0"/>
          <w:numId w:val="1006"/>
        </w:numPr>
        <w:pStyle w:val="Compact"/>
      </w:pPr>
      <w:r>
        <w:rPr>
          <w:bCs/>
          <w:b/>
        </w:rPr>
        <w:t xml:space="preserve">Transport Distance (Raw Materials Inbound - kfnvddulnu_ocean):</w:t>
      </w:r>
      <w:r>
        <w:t xml:space="preserve"> </w:t>
      </w:r>
      <w:r>
        <w:t xml:space="preserve">15,000 km.</w:t>
      </w:r>
    </w:p>
    <w:p>
      <w:pPr>
        <w:numPr>
          <w:ilvl w:val="0"/>
          <w:numId w:val="1006"/>
        </w:numPr>
        <w:pStyle w:val="Compact"/>
      </w:pPr>
      <w:r>
        <w:rPr>
          <w:bCs/>
          <w:b/>
        </w:rPr>
        <w:t xml:space="preserve">Transport Mode (Raw Materials to Factory in China):</w:t>
      </w:r>
      <w:r>
        <w:t xml:space="preserve"> </w:t>
      </w:r>
      <w:r>
        <w:t xml:space="preserve">Road Freight (HGV).</w:t>
      </w:r>
    </w:p>
    <w:p>
      <w:pPr>
        <w:numPr>
          <w:ilvl w:val="0"/>
          <w:numId w:val="1006"/>
        </w:numPr>
        <w:pStyle w:val="Compact"/>
      </w:pPr>
      <w:r>
        <w:rPr>
          <w:bCs/>
          <w:b/>
        </w:rPr>
        <w:t xml:space="preserve">Transport Distance (Raw Materials to Factory - kfnvddulnu_road_pre-prod):</w:t>
      </w:r>
      <w:r>
        <w:t xml:space="preserve"> </w:t>
      </w:r>
      <w:r>
        <w:t xml:space="preserve">200 km.</w:t>
      </w:r>
    </w:p>
    <w:p>
      <w:pPr>
        <w:numPr>
          <w:ilvl w:val="0"/>
          <w:numId w:val="1006"/>
        </w:numPr>
        <w:pStyle w:val="Compact"/>
      </w:pPr>
      <w:r>
        <w:rPr>
          <w:bCs/>
          <w:b/>
        </w:rPr>
        <w:t xml:space="preserve">Transport Mode (Finished Goods Outbound):</w:t>
      </w:r>
      <w:r>
        <w:t xml:space="preserve"> </w:t>
      </w:r>
      <w:r>
        <w:t xml:space="preserve">Ocean Freight (Container Ship) from China to Europe.</w:t>
      </w:r>
    </w:p>
    <w:p>
      <w:pPr>
        <w:numPr>
          <w:ilvl w:val="0"/>
          <w:numId w:val="1006"/>
        </w:numPr>
        <w:pStyle w:val="Compact"/>
      </w:pPr>
      <w:r>
        <w:rPr>
          <w:bCs/>
          <w:b/>
        </w:rPr>
        <w:t xml:space="preserve">Transport Distance (Finished Goods Outbound - kfnvddulnu_ocean):</w:t>
      </w:r>
      <w:r>
        <w:t xml:space="preserve"> </w:t>
      </w:r>
      <w:r>
        <w:t xml:space="preserve">15,000 km.</w:t>
      </w:r>
    </w:p>
    <w:p>
      <w:pPr>
        <w:numPr>
          <w:ilvl w:val="0"/>
          <w:numId w:val="1006"/>
        </w:numPr>
        <w:pStyle w:val="Compact"/>
      </w:pPr>
      <w:r>
        <w:rPr>
          <w:bCs/>
          <w:b/>
        </w:rPr>
        <w:t xml:space="preserve">Transport Mode (Distribution in Europe):</w:t>
      </w:r>
      <w:r>
        <w:t xml:space="preserve"> </w:t>
      </w:r>
      <w:r>
        <w:t xml:space="preserve">Road Freight (HGV).</w:t>
      </w:r>
    </w:p>
    <w:p>
      <w:pPr>
        <w:numPr>
          <w:ilvl w:val="0"/>
          <w:numId w:val="1006"/>
        </w:numPr>
        <w:pStyle w:val="Compact"/>
      </w:pPr>
      <w:r>
        <w:rPr>
          <w:bCs/>
          <w:b/>
        </w:rPr>
        <w:t xml:space="preserve">Transport Distance (Distribution in Europe - kfnvddulnu_road_dist):</w:t>
      </w:r>
      <w:r>
        <w:t xml:space="preserve"> </w:t>
      </w:r>
      <w:r>
        <w:t xml:space="preserve">500 km.</w:t>
      </w:r>
    </w:p>
    <w:p>
      <w:pPr>
        <w:numPr>
          <w:ilvl w:val="0"/>
          <w:numId w:val="1006"/>
        </w:numPr>
        <w:pStyle w:val="Compact"/>
      </w:pPr>
      <w:r>
        <w:rPr>
          <w:bCs/>
          <w:b/>
        </w:rPr>
        <w:t xml:space="preserve">Last-Mile Delivery Channel (Delivery Type):</w:t>
      </w:r>
      <w:r>
        <w:t xml:space="preserve"> </w:t>
      </w:r>
      <w:r>
        <w:t xml:space="preserve">Standard Parcel Delivery by Van for final customer delivery.</w:t>
      </w:r>
    </w:p>
    <w:p>
      <w:pPr>
        <w:numPr>
          <w:ilvl w:val="0"/>
          <w:numId w:val="1006"/>
        </w:numPr>
        <w:pStyle w:val="Compact"/>
      </w:pPr>
      <w:r>
        <w:rPr>
          <w:bCs/>
          <w:b/>
        </w:rPr>
        <w:t xml:space="preserve">Transport Distance (Last-Mile - kfnvddulnu_last_mile):</w:t>
      </w:r>
      <w:r>
        <w:t xml:space="preserve"> </w:t>
      </w:r>
      <w:r>
        <w:t xml:space="preserve">50 km (estimated).</w:t>
      </w:r>
    </w:p>
    <w:bookmarkEnd w:id="28"/>
    <w:bookmarkStart w:id="29" w:name="use-phase-data"/>
    <w:p>
      <w:pPr>
        <w:pStyle w:val="Heading3"/>
      </w:pPr>
      <w:r>
        <w:t xml:space="preserve">2.4. Use Phase Data</w:t>
      </w:r>
    </w:p>
    <w:p>
      <w:pPr>
        <w:numPr>
          <w:ilvl w:val="0"/>
          <w:numId w:val="1007"/>
        </w:numPr>
        <w:pStyle w:val="Compact"/>
      </w:pPr>
      <w:r>
        <w:rPr>
          <w:bCs/>
          <w:b/>
        </w:rPr>
        <w:t xml:space="preserve">Product Lifespan (lxyhmvzhqd):</w:t>
      </w:r>
      <w:r>
        <w:t xml:space="preserve"> </w:t>
      </w:r>
      <w:r>
        <w:t xml:space="preserve">5 years.</w:t>
      </w:r>
    </w:p>
    <w:p>
      <w:pPr>
        <w:numPr>
          <w:ilvl w:val="0"/>
          <w:numId w:val="1007"/>
        </w:numPr>
        <w:pStyle w:val="Compact"/>
      </w:pPr>
      <w:r>
        <w:rPr>
          <w:bCs/>
          <w:b/>
        </w:rPr>
        <w:t xml:space="preserve">Energy Consumption in Use (oxghhzoqfz):</w:t>
      </w:r>
      <w:r>
        <w:t xml:space="preserve"> </w:t>
      </w:r>
      <w:r>
        <w:t xml:space="preserve">10 kWh/year.</w:t>
      </w:r>
    </w:p>
    <w:p>
      <w:pPr>
        <w:numPr>
          <w:ilvl w:val="0"/>
          <w:numId w:val="1007"/>
        </w:numPr>
        <w:pStyle w:val="Compact"/>
      </w:pPr>
      <w:r>
        <w:rPr>
          <w:bCs/>
          <w:b/>
        </w:rPr>
        <w:t xml:space="preserve">Geographic Location of Use:</w:t>
      </w:r>
      <w:r>
        <w:t xml:space="preserve"> </w:t>
      </w:r>
      <w:r>
        <w:t xml:space="preserve">Europe.</w:t>
      </w:r>
    </w:p>
    <w:bookmarkEnd w:id="29"/>
    <w:bookmarkStart w:id="30" w:name="end-of-life-eol-scenarios"/>
    <w:p>
      <w:pPr>
        <w:pStyle w:val="Heading3"/>
      </w:pPr>
      <w:r>
        <w:t xml:space="preserve">2.5. End-of-Life (EoL) Scenarios</w:t>
      </w:r>
    </w:p>
    <w:p>
      <w:pPr>
        <w:numPr>
          <w:ilvl w:val="0"/>
          <w:numId w:val="1008"/>
        </w:numPr>
        <w:pStyle w:val="Compact"/>
      </w:pPr>
      <w:r>
        <w:rPr>
          <w:bCs/>
          <w:b/>
        </w:rPr>
        <w:t xml:space="preserve">Recyclability Percentage (yvvliqyngk):</w:t>
      </w:r>
      <w:r>
        <w:t xml:space="preserve"> </w:t>
      </w:r>
      <w:r>
        <w:t xml:space="preserve">80%. This indicates that 80% of the product\'s mass is theoretically recyclable.</w:t>
      </w:r>
    </w:p>
    <w:p>
      <w:pPr>
        <w:numPr>
          <w:ilvl w:val="0"/>
          <w:numId w:val="1008"/>
        </w:numPr>
        <w:pStyle w:val="Compact"/>
      </w:pPr>
      <w:r>
        <w:rPr>
          <w:bCs/>
          <w:b/>
        </w:rPr>
        <w:t xml:space="preserve">Circular/Take-back Programs (ntytopdyir):</w:t>
      </w:r>
      <w:r>
        <w:t xml:space="preserve"> </w:t>
      </w:r>
      <w:r>
        <w:t xml:space="preserve">Company-managed product take-back and recycling program. This implies active participation in material recovery.</w:t>
      </w:r>
    </w:p>
    <w:bookmarkEnd w:id="30"/>
    <w:bookmarkEnd w:id="31"/>
    <w:p>
      <w:r>
        <w:pict>
          <v:rect style="width:0;height:1.5pt" o:hralign="center" o:hrstd="t" o:hr="t"/>
        </w:pict>
      </w:r>
    </w:p>
    <w:bookmarkStart w:id="36" w:name="X7b6d01ce7b6bfe45f00681616505557cddf238f"/>
    <w:p>
      <w:pPr>
        <w:pStyle w:val="Heading2"/>
      </w:pPr>
      <w:r>
        <w:t xml:space="preserve">3. Data Collection (Primary/Secondary Data Points)</w:t>
      </w:r>
    </w:p>
    <w:p>
      <w:pPr>
        <w:pStyle w:val="FirstParagraph"/>
      </w:pPr>
      <w:r>
        <w:t xml:space="preserve">Data for this PCF analysis integrates specific project parameters with secondary data from reputable databases (like Ecoinvent and DEFRA equivalents for emission factors) to ensure a robust and detailed assessment.</w:t>
      </w:r>
    </w:p>
    <w:bookmarkStart w:id="32" w:name="material-data"/>
    <w:p>
      <w:pPr>
        <w:pStyle w:val="Heading3"/>
      </w:pPr>
      <w:r>
        <w:t xml:space="preserve">3.1. Material Data</w:t>
      </w:r>
    </w:p>
    <w:p>
      <w:pPr>
        <w:pStyle w:val="FirstParagraph"/>
      </w:pPr>
      <w:r>
        <w:t xml:space="preserve">The BOM data (ddjeuhyd) details the specific mass of each component. Emission factors for these materials were obtained as follows:</w:t>
      </w:r>
    </w:p>
    <w:p>
      <w:pPr>
        <w:numPr>
          <w:ilvl w:val="0"/>
          <w:numId w:val="1009"/>
        </w:numPr>
        <w:pStyle w:val="Compact"/>
      </w:pPr>
      <w:r>
        <w:rPr>
          <w:bCs/>
          <w:b/>
        </w:rPr>
        <w:t xml:space="preserve">Aluminum Casing (Primary Production):</w:t>
      </w:r>
      <w:r>
        <w:t xml:space="preserve"> </w:t>
      </w:r>
      <w:r>
        <w:t xml:space="preserve">An emission factor of 14.77 kg CO₂e/kg for global primary aluminum production was used. This factor covers mining, refining, anode production, electrolysis, and casting.</w:t>
      </w:r>
    </w:p>
    <w:p>
      <w:pPr>
        <w:numPr>
          <w:ilvl w:val="0"/>
          <w:numId w:val="1009"/>
        </w:numPr>
        <w:pStyle w:val="Compact"/>
      </w:pPr>
      <w:r>
        <w:rPr>
          <w:bCs/>
          <w:b/>
        </w:rPr>
        <w:t xml:space="preserve">Plastic Enclosure (Injection Molding):</w:t>
      </w:r>
      <w:r>
        <w:t xml:space="preserve"> </w:t>
      </w:r>
      <w:r>
        <w:t xml:space="preserve">An average emission factor of 4.9 kg CO₂e/kg for the average lifecycle of plastic without recycling was used. While direct injection molding EFs from Ecoinvent are sometimes proprietary, this value represents the material\'s inherent footprint.</w:t>
      </w:r>
    </w:p>
    <w:p>
      <w:pPr>
        <w:numPr>
          <w:ilvl w:val="0"/>
          <w:numId w:val="1009"/>
        </w:numPr>
        <w:pStyle w:val="Compact"/>
      </w:pPr>
      <w:r>
        <w:rPr>
          <w:bCs/>
          <w:b/>
        </w:rPr>
        <w:t xml:space="preserve">Circuit Board (PCB) &amp; Copper Wiring:</w:t>
      </w:r>
      <w:r>
        <w:t xml:space="preserve"> </w:t>
      </w:r>
      <w:r>
        <w:t xml:space="preserve">Due to the complexity and variability of these components, illustrative emission factors (15.0 kg CO₂e/kg for PCB and 3.0 kg CO₂e/kg for Copper) were adopted to represent their typical high impact, as precise industry-average cradle-to-gate data for generic \'PCB\' or \'Copper Wiring\' without specific composition or manufacturing details are not universally standardized in publicly accessible databases to the same granular level as basic materials like aluminum.</w:t>
      </w:r>
    </w:p>
    <w:bookmarkEnd w:id="32"/>
    <w:bookmarkStart w:id="33" w:name="energy-data"/>
    <w:p>
      <w:pPr>
        <w:pStyle w:val="Heading3"/>
      </w:pPr>
      <w:r>
        <w:t xml:space="preserve">3.2. Energy Data</w:t>
      </w:r>
    </w:p>
    <w:p>
      <w:pPr>
        <w:pStyle w:val="FirstParagraph"/>
      </w:pPr>
      <w:r>
        <w:t xml:space="preserve">Electricity consumption for manufacturing (kprutpfvhs = 5.0 kWh/unit) and use phase (oxghhzoqfz = 10 kWh/year) are primary data points. Secondary data provides the emission factors for the electricity grid mixes:</w:t>
      </w:r>
    </w:p>
    <w:p>
      <w:pPr>
        <w:numPr>
          <w:ilvl w:val="0"/>
          <w:numId w:val="1010"/>
        </w:numPr>
        <w:pStyle w:val="Compact"/>
      </w:pPr>
      <w:r>
        <w:rPr>
          <w:bCs/>
          <w:b/>
        </w:rPr>
        <w:t xml:space="preserve">China Electricity Grid Mix:</w:t>
      </w:r>
      <w:r>
        <w:t xml:space="preserve"> </w:t>
      </w:r>
      <w:r>
        <w:t xml:space="preserve">A national average factor of 0.6205 kg CO₂e/kWh for 2023 was used for manufacturing in China.</w:t>
      </w:r>
    </w:p>
    <w:p>
      <w:pPr>
        <w:numPr>
          <w:ilvl w:val="0"/>
          <w:numId w:val="1010"/>
        </w:numPr>
        <w:pStyle w:val="Compact"/>
      </w:pPr>
      <w:r>
        <w:rPr>
          <w:bCs/>
          <w:b/>
        </w:rPr>
        <w:t xml:space="preserve">Europe Electricity Grid Mix:</w:t>
      </w:r>
      <w:r>
        <w:t xml:space="preserve"> </w:t>
      </w:r>
      <w:r>
        <w:t xml:space="preserve">An average European Carbon Factor of 0.181 kg CO₂e/MWh (0.181 kg CO₂e/kWh) for 2024 was used for the use phase in Europe.</w:t>
      </w:r>
    </w:p>
    <w:bookmarkEnd w:id="33"/>
    <w:bookmarkStart w:id="34" w:name="transport-data"/>
    <w:p>
      <w:pPr>
        <w:pStyle w:val="Heading3"/>
      </w:pPr>
      <w:r>
        <w:t xml:space="preserve">3.3. Transport Data</w:t>
      </w:r>
    </w:p>
    <w:p>
      <w:pPr>
        <w:pStyle w:val="FirstParagraph"/>
      </w:pPr>
      <w:r>
        <w:t xml:space="preserve">Transport distances (kfnvddulnu, Delivery Type) are project-specific. Emission factors for different transport modes are:</w:t>
      </w:r>
    </w:p>
    <w:p>
      <w:pPr>
        <w:numPr>
          <w:ilvl w:val="0"/>
          <w:numId w:val="1011"/>
        </w:numPr>
        <w:pStyle w:val="Compact"/>
      </w:pPr>
      <w:r>
        <w:rPr>
          <w:bCs/>
          <w:b/>
        </w:rPr>
        <w:t xml:space="preserve">Ocean Freight (Container Ship):</w:t>
      </w:r>
      <w:r>
        <w:t xml:space="preserve"> </w:t>
      </w:r>
      <w:r>
        <w:t xml:space="preserve">0.016 kg CO₂e/tonne-km.</w:t>
      </w:r>
    </w:p>
    <w:p>
      <w:pPr>
        <w:numPr>
          <w:ilvl w:val="0"/>
          <w:numId w:val="1011"/>
        </w:numPr>
        <w:pStyle w:val="Compact"/>
      </w:pPr>
      <w:r>
        <w:rPr>
          <w:bCs/>
          <w:b/>
        </w:rPr>
        <w:t xml:space="preserve">Road Freight (HGV &gt;20t, Europe):</w:t>
      </w:r>
      <w:r>
        <w:t xml:space="preserve"> </w:t>
      </w:r>
      <w:r>
        <w:t xml:space="preserve">0.092 kg CO₂e/tonne-km.</w:t>
      </w:r>
    </w:p>
    <w:p>
      <w:pPr>
        <w:numPr>
          <w:ilvl w:val="0"/>
          <w:numId w:val="1011"/>
        </w:numPr>
        <w:pStyle w:val="Compact"/>
      </w:pPr>
      <w:r>
        <w:rPr>
          <w:bCs/>
          <w:b/>
        </w:rPr>
        <w:t xml:space="preserve">Road Freight (General, China - illustrative):</w:t>
      </w:r>
      <w:r>
        <w:t xml:space="preserve"> </w:t>
      </w:r>
      <w:r>
        <w:t xml:space="preserve">0.10 kg CO₂e/tonne-km (estimated, slightly lower than Europe due to potential vehicle fleet differences, but still substantial).</w:t>
      </w:r>
    </w:p>
    <w:p>
      <w:pPr>
        <w:numPr>
          <w:ilvl w:val="0"/>
          <w:numId w:val="1011"/>
        </w:numPr>
        <w:pStyle w:val="Compact"/>
      </w:pPr>
      <w:r>
        <w:rPr>
          <w:bCs/>
          <w:b/>
        </w:rPr>
        <w:t xml:space="preserve">Last-Mile Delivery (Van/Smaller HGV - illustrative):</w:t>
      </w:r>
      <w:r>
        <w:t xml:space="preserve"> </w:t>
      </w:r>
      <w:r>
        <w:t xml:space="preserve">0.15 kg CO₂e/tonne-km (estimated, reflecting higher emissions due to stop-and-go traffic and smaller load factors compared to long-haul HGV).</w:t>
      </w:r>
    </w:p>
    <w:bookmarkEnd w:id="34"/>
    <w:bookmarkStart w:id="35" w:name="end-of-life-data"/>
    <w:p>
      <w:pPr>
        <w:pStyle w:val="Heading3"/>
      </w:pPr>
      <w:r>
        <w:t xml:space="preserve">3.4. End-of-Life Data</w:t>
      </w:r>
    </w:p>
    <w:p>
      <w:pPr>
        <w:pStyle w:val="FirstParagraph"/>
      </w:pPr>
      <w:r>
        <w:t xml:space="preserve">The recyclability percentage (yvvliqyngk = 80%) is a key parameter. Avoided emissions (credits) for recycling are applied based on the LSR Standard for carbon removals and displacement of virgin materials:</w:t>
      </w:r>
    </w:p>
    <w:p>
      <w:pPr>
        <w:numPr>
          <w:ilvl w:val="0"/>
          <w:numId w:val="1012"/>
        </w:numPr>
        <w:pStyle w:val="Compact"/>
      </w:pPr>
      <w:r>
        <w:rPr>
          <w:bCs/>
          <w:b/>
        </w:rPr>
        <w:t xml:space="preserve">Aluminum Recycling Credit:</w:t>
      </w:r>
      <w:r>
        <w:t xml:space="preserve"> </w:t>
      </w:r>
      <w:r>
        <w:t xml:space="preserve">A credit of -8.69 kg CO₂e/kg for aluminum sheet (Module D value, representing benefits from recycling) was applied. Aluminum recycling offers significant emission reductions compared to primary production.</w:t>
      </w:r>
    </w:p>
    <w:p>
      <w:pPr>
        <w:numPr>
          <w:ilvl w:val="0"/>
          <w:numId w:val="1012"/>
        </w:numPr>
        <w:pStyle w:val="Compact"/>
      </w:pPr>
      <w:r>
        <w:rPr>
          <w:bCs/>
          <w:b/>
        </w:rPr>
        <w:t xml:space="preserve">Plastic Recycling Credit:</w:t>
      </w:r>
      <w:r>
        <w:t xml:space="preserve"> </w:t>
      </w:r>
      <w:r>
        <w:t xml:space="preserve">An illustrative avoided emission factor of -1.5 kg CO₂e/kg was used for recycled plastic, reflecting that recycling plastic significantly reduces the carbon footprint compared to producing new virgin plastic.</w:t>
      </w:r>
    </w:p>
    <w:p>
      <w:pPr>
        <w:numPr>
          <w:ilvl w:val="0"/>
          <w:numId w:val="1012"/>
        </w:numPr>
        <w:pStyle w:val="Compact"/>
      </w:pPr>
      <w:r>
        <w:rPr>
          <w:bCs/>
          <w:b/>
        </w:rPr>
        <w:t xml:space="preserve">Disposal Emissions:</w:t>
      </w:r>
      <w:r>
        <w:t xml:space="preserve"> </w:t>
      </w:r>
      <w:r>
        <w:t xml:space="preserve">For the non-recycled portion (20%), a conservative estimate of 1.0 kg CO₂e/kg was used for landfilling/incineration of mixed residual waste.</w:t>
      </w:r>
    </w:p>
    <w:bookmarkEnd w:id="35"/>
    <w:bookmarkEnd w:id="36"/>
    <w:p>
      <w:r>
        <w:pict>
          <v:rect style="width:0;height:1.5pt" o:hralign="center" o:hrstd="t" o:hr="t"/>
        </w:pict>
      </w:r>
    </w:p>
    <w:bookmarkStart w:id="46" w:name="Xe37424a356285c2cafc0e8c8be92b8ce5257a47"/>
    <w:p>
      <w:pPr>
        <w:pStyle w:val="Heading2"/>
      </w:pPr>
      <w:r>
        <w:t xml:space="preserve">4. Emissions Calculation (Activity * Emission Factor = CO₂e)</w:t>
      </w:r>
    </w:p>
    <w:p>
      <w:pPr>
        <w:pStyle w:val="FirstParagraph"/>
      </w:pPr>
      <w:r>
        <w:t xml:space="preserve">Emissions are calculated per functional unit (1.0 unit of mnhltdxfvk) and categorized according to the GHG Protocol Scopes.</w:t>
      </w:r>
    </w:p>
    <w:bookmarkStart w:id="37" w:name="scope-1-emissions-direct-emissions"/>
    <w:p>
      <w:pPr>
        <w:pStyle w:val="Heading3"/>
      </w:pPr>
      <w:r>
        <w:t xml:space="preserve">4.1. Scope 1 Emissions (Direct Emissions)</w:t>
      </w:r>
    </w:p>
    <w:p>
      <w:pPr>
        <w:pStyle w:val="FirstParagraph"/>
      </w:pPr>
      <w:r>
        <w:t xml:space="preserve">Scope 1 emissions arise from sources owned or controlled by rlwswvesln. For the manufacturing of "mnhltdxfvk" in a modern facility producing a smart home device, direct combustion of fuels on-site (e.g., for heating or company vehicles) is assumed to be negligible compared to indirect emissions from purchased electricity and the value chain. Therefore, Scope 1 emissions are considered</w:t>
      </w:r>
      <w:r>
        <w:t xml:space="preserve"> </w:t>
      </w:r>
      <w:r>
        <w:rPr>
          <w:bCs/>
          <w:b/>
        </w:rPr>
        <w:t xml:space="preserve">0.00 kg CO₂e</w:t>
      </w:r>
      <w:r>
        <w:t xml:space="preserve"> </w:t>
      </w:r>
      <w:r>
        <w:t xml:space="preserve">for this product PCF.</w:t>
      </w:r>
    </w:p>
    <w:bookmarkEnd w:id="37"/>
    <w:bookmarkStart w:id="38" w:name="Xea3a0be011cd6660e8b4fde47b2db6c687f0551"/>
    <w:p>
      <w:pPr>
        <w:pStyle w:val="Heading3"/>
      </w:pPr>
      <w:r>
        <w:t xml:space="preserve">4.2. Scope 2 Emissions (Purchased Energy Emissions)</w:t>
      </w:r>
    </w:p>
    <w:p>
      <w:pPr>
        <w:pStyle w:val="FirstParagraph"/>
      </w:pPr>
      <w:r>
        <w:t xml:space="preserve">Scope 2 emissions account for GHG emissions from the generation of purchased electricity consumed by rlwswvesln\'s manufacturing operations.</w:t>
      </w:r>
    </w:p>
    <w:p>
      <w:pPr>
        <w:numPr>
          <w:ilvl w:val="0"/>
          <w:numId w:val="1013"/>
        </w:numPr>
        <w:pStyle w:val="Compact"/>
      </w:pPr>
      <w:r>
        <w:t xml:space="preserve">Total Energy Intensity: 5.0 kWh/unit (kprutpfvhs)</w:t>
      </w:r>
    </w:p>
    <w:p>
      <w:pPr>
        <w:numPr>
          <w:ilvl w:val="0"/>
          <w:numId w:val="1013"/>
        </w:numPr>
        <w:pStyle w:val="Compact"/>
      </w:pPr>
      <w:r>
        <w:t xml:space="preserve">Renewable Energy Usage: 70% (krrvtuqzuj)</w:t>
      </w:r>
    </w:p>
    <w:p>
      <w:pPr>
        <w:numPr>
          <w:ilvl w:val="0"/>
          <w:numId w:val="1013"/>
        </w:numPr>
        <w:pStyle w:val="Compact"/>
      </w:pPr>
      <w:r>
        <w:t xml:space="preserve">Non-renewable energy portion: 5.0 kWh/unit * (1 - 0.70) = 1.5 kWh/unit</w:t>
      </w:r>
    </w:p>
    <w:p>
      <w:pPr>
        <w:numPr>
          <w:ilvl w:val="0"/>
          <w:numId w:val="1013"/>
        </w:numPr>
        <w:pStyle w:val="Compact"/>
      </w:pPr>
      <w:r>
        <w:t xml:space="preserve">China Electricity Grid Emission Factor: 0.6205 kg CO₂e/kWh (2023 National Average)</w:t>
      </w:r>
    </w:p>
    <w:p>
      <w:pPr>
        <w:numPr>
          <w:ilvl w:val="0"/>
          <w:numId w:val="1013"/>
        </w:numPr>
        <w:pStyle w:val="Compact"/>
      </w:pPr>
      <w:r>
        <w:rPr>
          <w:bCs/>
          <w:b/>
        </w:rPr>
        <w:t xml:space="preserve">Scope 2 Emissions:</w:t>
      </w:r>
      <w:r>
        <w:t xml:space="preserve"> </w:t>
      </w:r>
      <w:r>
        <w:t xml:space="preserve">1.5 kWh/unit * 0.6205 kg CO₂e/kWh =</w:t>
      </w:r>
      <w:r>
        <w:t xml:space="preserve"> </w:t>
      </w:r>
      <w:r>
        <w:rPr>
          <w:bCs/>
          <w:b/>
        </w:rPr>
        <w:t xml:space="preserve">0.93 kg CO₂e/unit</w:t>
      </w:r>
    </w:p>
    <w:bookmarkEnd w:id="38"/>
    <w:bookmarkStart w:id="44" w:name="scope-3-emissions-value-chain-emissions"/>
    <w:p>
      <w:pPr>
        <w:pStyle w:val="Heading3"/>
      </w:pPr>
      <w:r>
        <w:t xml:space="preserve">4.3. Scope 3 Emissions (Value Chain Emissions)</w:t>
      </w:r>
    </w:p>
    <w:p>
      <w:pPr>
        <w:pStyle w:val="FirstParagraph"/>
      </w:pPr>
      <w:r>
        <w:t xml:space="preserve">Scope 3 emissions cover all other indirect emissions occurring in the value chain, both upstream and downstream. The GHG Protocol defines 15 categories for Scope 3 emissions. This analysis focuses on the most relevant categories for mnhltdxfvk, ensuring a minimum of 95% coverage.</w:t>
      </w:r>
    </w:p>
    <w:bookmarkStart w:id="39" w:name="Xf433b39135ba56c7f8e853d9837b5351625a170"/>
    <w:p>
      <w:pPr>
        <w:pStyle w:val="Heading4"/>
      </w:pPr>
      <w:r>
        <w:t xml:space="preserve">4.3.1. Category 1: Purchased Goods and Services (Material Acquisition &amp; Pre-processing)</w:t>
      </w:r>
    </w:p>
    <w:p>
      <w:pPr>
        <w:pStyle w:val="FirstParagraph"/>
      </w:pPr>
      <w:r>
        <w:t xml:space="preserve">These emissions stem from the extraction, production, and transportation of purchased goods and services. Based on the Detailed Bill of Materials (BOM) for mnhltdxfvk:</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CO₂e/kg)</w:t>
            </w:r>
          </w:p>
        </w:tc>
        <w:tc>
          <w:tcPr/>
          <w:p>
            <w:pPr>
              <w:pStyle w:val="Compact"/>
              <w:jc w:val="left"/>
            </w:pPr>
            <w:r>
              <w:t xml:space="preserve">Total Carbon (kg CO₂e)</w:t>
            </w:r>
          </w:p>
        </w:tc>
      </w:tr>
      <w:tr>
        <w:tc>
          <w:tcPr/>
          <w:p>
            <w:pPr>
              <w:pStyle w:val="Compact"/>
              <w:jc w:val="left"/>
            </w:pPr>
            <w:r>
              <w:t xml:space="preserve">Aluminum Casing (Primary)</w:t>
            </w:r>
          </w:p>
        </w:tc>
        <w:tc>
          <w:tcPr/>
          <w:p>
            <w:pPr>
              <w:pStyle w:val="Compact"/>
              <w:jc w:val="left"/>
            </w:pPr>
            <w:r>
              <w:t xml:space="preserve">0.2</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Plastic Enclosure (Virgin)</w:t>
            </w:r>
          </w:p>
        </w:tc>
        <w:tc>
          <w:tcPr/>
          <w:p>
            <w:pPr>
              <w:pStyle w:val="Compact"/>
              <w:jc w:val="left"/>
            </w:pPr>
            <w:r>
              <w:t xml:space="preserve">0.1</w:t>
            </w:r>
          </w:p>
        </w:tc>
        <w:tc>
          <w:tcPr/>
          <w:p>
            <w:pPr>
              <w:pStyle w:val="Compact"/>
              <w:jc w:val="left"/>
            </w:pPr>
            <w:r>
              <w:t xml:space="preserve">4.90</w:t>
            </w:r>
          </w:p>
        </w:tc>
        <w:tc>
          <w:tcPr/>
          <w:p>
            <w:pPr>
              <w:pStyle w:val="Compact"/>
              <w:jc w:val="left"/>
            </w:pPr>
            <w:r>
              <w:t xml:space="preserve">0.490</w:t>
            </w:r>
          </w:p>
        </w:tc>
      </w:tr>
      <w:tr>
        <w:tc>
          <w:tcPr/>
          <w:p>
            <w:pPr>
              <w:pStyle w:val="Compact"/>
              <w:jc w:val="left"/>
            </w:pPr>
            <w:r>
              <w:t xml:space="preserve">Circuit Board (PCB)</w:t>
            </w:r>
          </w:p>
        </w:tc>
        <w:tc>
          <w:tcPr/>
          <w:p>
            <w:pPr>
              <w:pStyle w:val="Compact"/>
              <w:jc w:val="left"/>
            </w:pPr>
            <w:r>
              <w:t xml:space="preserve">0.05</w:t>
            </w:r>
          </w:p>
        </w:tc>
        <w:tc>
          <w:tcPr/>
          <w:p>
            <w:pPr>
              <w:pStyle w:val="Compact"/>
              <w:jc w:val="left"/>
            </w:pPr>
            <w:r>
              <w:t xml:space="preserve">15.00 (Estimated)</w:t>
            </w:r>
          </w:p>
        </w:tc>
        <w:tc>
          <w:tcPr/>
          <w:p>
            <w:pPr>
              <w:pStyle w:val="Compact"/>
              <w:jc w:val="left"/>
            </w:pPr>
            <w:r>
              <w:t xml:space="preserve">0.750</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3.00 (Estimated)</w:t>
            </w:r>
          </w:p>
        </w:tc>
        <w:tc>
          <w:tcPr/>
          <w:p>
            <w:pPr>
              <w:pStyle w:val="Compact"/>
              <w:jc w:val="left"/>
            </w:pPr>
            <w:r>
              <w:t xml:space="preserve">0.060</w:t>
            </w:r>
          </w:p>
        </w:tc>
      </w:tr>
      <w:tr>
        <w:tc>
          <w:tcPr>
            <w:gridSpan w:val="3"/>
          </w:tcPr>
          <w:p>
            <w:pPr>
              <w:pStyle w:val="Compact"/>
              <w:jc w:val="right"/>
            </w:pPr>
            <w:r>
              <w:rPr>
                <w:bCs/>
                <w:b/>
              </w:rPr>
              <w:t xml:space="preserve">Total Category 1 Emissions:</w:t>
            </w:r>
          </w:p>
        </w:tc>
        <w:tc>
          <w:tcPr/>
          <w:p>
            <w:pPr>
              <w:pStyle w:val="Compact"/>
              <w:jc w:val="left"/>
            </w:pPr>
            <w:r>
              <w:rPr>
                <w:bCs/>
                <w:b/>
              </w:rPr>
              <w:t xml:space="preserve">4.254</w:t>
            </w:r>
          </w:p>
        </w:tc>
      </w:tr>
    </w:tbl>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from suppliers to the manufacturing facility in China. Total material weight is 0.37 kg (0.00037 tonnes).</w:t>
      </w:r>
    </w:p>
    <w:p>
      <w:pPr>
        <w:numPr>
          <w:ilvl w:val="0"/>
          <w:numId w:val="1014"/>
        </w:numPr>
        <w:pStyle w:val="Compact"/>
      </w:pPr>
      <w:r>
        <w:t xml:space="preserve">Ocean Freight (Global to China): 0.00037 t * 15,000 km * 0.016 kg CO₂e/t-km = 0.0888 kg CO₂e</w:t>
      </w:r>
    </w:p>
    <w:p>
      <w:pPr>
        <w:numPr>
          <w:ilvl w:val="0"/>
          <w:numId w:val="1014"/>
        </w:numPr>
        <w:pStyle w:val="Compact"/>
      </w:pPr>
      <w:r>
        <w:t xml:space="preserve">Road Freight (Port to Factory in China): 0.00037 t * 200 km * 0.10 kg CO₂e/t-km (Estimated) = 0.0074 kg CO₂e</w:t>
      </w:r>
    </w:p>
    <w:p>
      <w:pPr>
        <w:numPr>
          <w:ilvl w:val="0"/>
          <w:numId w:val="1014"/>
        </w:numPr>
        <w:pStyle w:val="Compact"/>
      </w:pPr>
      <w:r>
        <w:rPr>
          <w:bCs/>
          <w:b/>
        </w:rPr>
        <w:t xml:space="preserve">Total Category 4 Emissions:</w:t>
      </w:r>
      <w:r>
        <w:t xml:space="preserve"> </w:t>
      </w:r>
      <w:r>
        <w:t xml:space="preserve">0.0888 + 0.0074 =</w:t>
      </w:r>
      <w:r>
        <w:t xml:space="preserve"> </w:t>
      </w:r>
      <w:r>
        <w:rPr>
          <w:bCs/>
          <w:b/>
        </w:rPr>
        <w:t xml:space="preserve">0.0962 kg CO₂e/unit</w:t>
      </w:r>
    </w:p>
    <w:bookmarkEnd w:id="40"/>
    <w:bookmarkStart w:id="41" w:name="X25a0837e2ca53a982bfb6f58a50970139f4f25f"/>
    <w:p>
      <w:pPr>
        <w:pStyle w:val="Heading4"/>
      </w:pPr>
      <w:r>
        <w:t xml:space="preserve">4.3.3. Category 9: Downstream Transportation and Distribution</w:t>
      </w:r>
    </w:p>
    <w:p>
      <w:pPr>
        <w:pStyle w:val="FirstParagraph"/>
      </w:pPr>
      <w:r>
        <w:t xml:space="preserve">Emissions from the transportation and distribution of the product "mnhltdxfvk" to the customer. Finished product weight is assumed to be 0.37 kg (0.00037 tonnes).</w:t>
      </w:r>
    </w:p>
    <w:p>
      <w:pPr>
        <w:numPr>
          <w:ilvl w:val="0"/>
          <w:numId w:val="1015"/>
        </w:numPr>
        <w:pStyle w:val="Compact"/>
      </w:pPr>
      <w:r>
        <w:t xml:space="preserve">Ocean Freight (China to Europe): 0.00037 t * 15,000 km * 0.016 kg CO₂e/t-km = 0.0888 kg CO₂e</w:t>
      </w:r>
    </w:p>
    <w:p>
      <w:pPr>
        <w:numPr>
          <w:ilvl w:val="0"/>
          <w:numId w:val="1015"/>
        </w:numPr>
        <w:pStyle w:val="Compact"/>
      </w:pPr>
      <w:r>
        <w:t xml:space="preserve">Road Freight (Distribution in Europe): 0.00037 t * 500 km * 0.092 kg CO₂e/t-km = 0.0170 kg CO₂e</w:t>
      </w:r>
    </w:p>
    <w:p>
      <w:pPr>
        <w:numPr>
          <w:ilvl w:val="0"/>
          <w:numId w:val="1015"/>
        </w:numPr>
        <w:pStyle w:val="Compact"/>
      </w:pPr>
      <w:r>
        <w:t xml:space="preserve">Last-Mile Delivery (Standard Parcel Delivery by Van): 0.00037 t * 50 km * 0.15 kg CO₂e/t-km (Estimated) = 0.0028 kg CO₂e</w:t>
      </w:r>
    </w:p>
    <w:p>
      <w:pPr>
        <w:numPr>
          <w:ilvl w:val="0"/>
          <w:numId w:val="1015"/>
        </w:numPr>
        <w:pStyle w:val="Compact"/>
      </w:pPr>
      <w:r>
        <w:rPr>
          <w:bCs/>
          <w:b/>
        </w:rPr>
        <w:t xml:space="preserve">Total Category 9 Emissions:</w:t>
      </w:r>
      <w:r>
        <w:t xml:space="preserve"> </w:t>
      </w:r>
      <w:r>
        <w:t xml:space="preserve">0.0888 + 0.0170 + 0.0028 =</w:t>
      </w:r>
      <w:r>
        <w:t xml:space="preserve"> </w:t>
      </w:r>
      <w:r>
        <w:rPr>
          <w:bCs/>
          <w:b/>
        </w:rPr>
        <w:t xml:space="preserve">0.1086 kg CO₂e/unit</w:t>
      </w:r>
    </w:p>
    <w:bookmarkEnd w:id="41"/>
    <w:bookmarkStart w:id="42" w:name="category-11-use-of-sold-products"/>
    <w:p>
      <w:pPr>
        <w:pStyle w:val="Heading4"/>
      </w:pPr>
      <w:r>
        <w:t xml:space="preserve">4.3.4. Category 11: Use of Sold Products</w:t>
      </w:r>
    </w:p>
    <w:p>
      <w:pPr>
        <w:pStyle w:val="FirstParagraph"/>
      </w:pPr>
      <w:r>
        <w:t xml:space="preserve">Emissions from the use of "mnhltdxfvk" over its lifespan, primarily from electricity consumption.</w:t>
      </w:r>
    </w:p>
    <w:p>
      <w:pPr>
        <w:numPr>
          <w:ilvl w:val="0"/>
          <w:numId w:val="1016"/>
        </w:numPr>
        <w:pStyle w:val="Compact"/>
      </w:pPr>
      <w:r>
        <w:t xml:space="preserve">Energy Consumption in Use: 10 kWh/year (oxghhzoqfz)</w:t>
      </w:r>
    </w:p>
    <w:p>
      <w:pPr>
        <w:numPr>
          <w:ilvl w:val="0"/>
          <w:numId w:val="1016"/>
        </w:numPr>
        <w:pStyle w:val="Compact"/>
      </w:pPr>
      <w:r>
        <w:t xml:space="preserve">Product Lifespan: 5 years (lxyhmvzhqd)</w:t>
      </w:r>
    </w:p>
    <w:p>
      <w:pPr>
        <w:numPr>
          <w:ilvl w:val="0"/>
          <w:numId w:val="1016"/>
        </w:numPr>
        <w:pStyle w:val="Compact"/>
      </w:pPr>
      <w:r>
        <w:t xml:space="preserve">Total energy over lifespan: 10 kWh/year * 5 years = 50 kWh</w:t>
      </w:r>
    </w:p>
    <w:p>
      <w:pPr>
        <w:numPr>
          <w:ilvl w:val="0"/>
          <w:numId w:val="1016"/>
        </w:numPr>
        <w:pStyle w:val="Compact"/>
      </w:pPr>
      <w:r>
        <w:t xml:space="preserve">Europe Electricity Grid Emission Factor: 0.181 kg CO₂e/kWh (2024 Average)</w:t>
      </w:r>
    </w:p>
    <w:p>
      <w:pPr>
        <w:numPr>
          <w:ilvl w:val="0"/>
          <w:numId w:val="1016"/>
        </w:numPr>
        <w:pStyle w:val="Compact"/>
      </w:pPr>
      <w:r>
        <w:rPr>
          <w:bCs/>
          <w:b/>
        </w:rPr>
        <w:t xml:space="preserve">Total Category 11 Emissions:</w:t>
      </w:r>
      <w:r>
        <w:t xml:space="preserve"> </w:t>
      </w:r>
      <w:r>
        <w:t xml:space="preserve">50 kWh * 0.181 kg CO₂e/kWh =</w:t>
      </w:r>
      <w:r>
        <w:t xml:space="preserve"> </w:t>
      </w:r>
      <w:r>
        <w:rPr>
          <w:bCs/>
          <w:b/>
        </w:rPr>
        <w:t xml:space="preserve">9.05 kg CO₂e/unit</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associated with waste disposal and recycling processes at the end of the product\'s life. This category incorporates the 2026 LSR Standard for accounting carbon removals and avoided emissions from circular economy initiatives.</w:t>
      </w:r>
    </w:p>
    <w:p>
      <w:pPr>
        <w:numPr>
          <w:ilvl w:val="0"/>
          <w:numId w:val="1017"/>
        </w:numPr>
        <w:pStyle w:val="Compact"/>
      </w:pPr>
      <w:r>
        <w:t xml:space="preserve">Total Product Weight: 0.37 kg</w:t>
      </w:r>
    </w:p>
    <w:p>
      <w:pPr>
        <w:numPr>
          <w:ilvl w:val="0"/>
          <w:numId w:val="1017"/>
        </w:numPr>
        <w:pStyle w:val="Compact"/>
      </w:pPr>
      <w:r>
        <w:t xml:space="preserve">Recyclability Percentage: 80% (yvvliqyngk)</w:t>
      </w:r>
    </w:p>
    <w:p>
      <w:pPr>
        <w:numPr>
          <w:ilvl w:val="0"/>
          <w:numId w:val="1017"/>
        </w:numPr>
        <w:pStyle w:val="Compact"/>
      </w:pPr>
      <w:r>
        <w:t xml:space="preserve">Recycled Portion: 0.37 kg * 0.80 = 0.296 kg</w:t>
      </w:r>
    </w:p>
    <w:p>
      <w:pPr>
        <w:numPr>
          <w:ilvl w:val="0"/>
          <w:numId w:val="1017"/>
        </w:numPr>
        <w:pStyle w:val="Compact"/>
      </w:pPr>
      <w:r>
        <w:t xml:space="preserve">Disposed Portion (landfill/incineration): 0.37 kg * 0.20 = 0.074 kg</w:t>
      </w:r>
    </w:p>
    <w:p>
      <w:pPr>
        <w:pStyle w:val="FirstParagraph"/>
      </w:pPr>
      <w:r>
        <w:t xml:space="preserve">Applying avoided emissions for recycled materials (LSR Update consideration):</w:t>
      </w:r>
    </w:p>
    <w:p>
      <w:pPr>
        <w:numPr>
          <w:ilvl w:val="0"/>
          <w:numId w:val="1018"/>
        </w:numPr>
        <w:pStyle w:val="Compact"/>
      </w:pPr>
      <w:r>
        <w:t xml:space="preserve">Aluminum Casing (0.2 kg): Credit of -8.69 kg CO₂e/kg * 0.2 kg = -1.738 kg CO₂e</w:t>
      </w:r>
    </w:p>
    <w:p>
      <w:pPr>
        <w:numPr>
          <w:ilvl w:val="0"/>
          <w:numId w:val="1018"/>
        </w:numPr>
        <w:pStyle w:val="Compact"/>
      </w:pPr>
      <w:r>
        <w:t xml:space="preserve">Plastic (assuming 0.05 kg of the plastic enclosure is recycled): Credit of -1.5 kg CO₂e/kg (Illustrative) * 0.05 kg = -0.075 kg CO₂e</w:t>
      </w:r>
    </w:p>
    <w:p>
      <w:pPr>
        <w:numPr>
          <w:ilvl w:val="0"/>
          <w:numId w:val="1018"/>
        </w:numPr>
        <w:pStyle w:val="Compact"/>
      </w:pPr>
      <w:r>
        <w:t xml:space="preserve">Emissions from disposal of remaining 0.074 kg (e.g., electronic components, mixed plastic) via landfill/incineration: 0.074 kg * 1.0 kg CO₂e/kg (Estimated disposal EF) = 0.074 kg CO₂e</w:t>
      </w:r>
    </w:p>
    <w:p>
      <w:pPr>
        <w:numPr>
          <w:ilvl w:val="0"/>
          <w:numId w:val="1018"/>
        </w:numPr>
        <w:pStyle w:val="Compact"/>
      </w:pPr>
      <w:r>
        <w:rPr>
          <w:bCs/>
          <w:b/>
        </w:rPr>
        <w:t xml:space="preserve">Net Total Category 12 Emissions:</w:t>
      </w:r>
      <w:r>
        <w:t xml:space="preserve"> </w:t>
      </w:r>
      <w:r>
        <w:t xml:space="preserve">-1.738 - 0.075 + 0.074 =</w:t>
      </w:r>
      <w:r>
        <w:t xml:space="preserve"> </w:t>
      </w:r>
      <w:r>
        <w:rPr>
          <w:bCs/>
          <w:b/>
        </w:rPr>
        <w:t xml:space="preserve">-1.739 kg CO₂e/unit</w:t>
      </w:r>
      <w:r>
        <w:t xml:space="preserve"> </w:t>
      </w:r>
      <w:r>
        <w:t xml:space="preserve">(representing a net carbon removal/avoidance due to high recyclability and circular programs).</w:t>
      </w:r>
    </w:p>
    <w:bookmarkEnd w:id="43"/>
    <w:bookmarkEnd w:id="44"/>
    <w:bookmarkStart w:id="45"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CO₂e/unit)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(assumed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for manufacturing (non-renewable portion)</w:t>
            </w:r>
          </w:p>
        </w:tc>
        <w:tc>
          <w:tcPr/>
          <w:p>
            <w:pPr>
              <w:pStyle w:val="Compact"/>
              <w:jc w:val="left"/>
            </w:pPr>
            <w:r>
              <w:t xml:space="preserve">0.93</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4.25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0.10</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0.11</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9.05</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-1.74</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12.70</w:t>
            </w:r>
          </w:p>
        </w:tc>
      </w:tr>
    </w:tbl>
    <w:p>
      <w:pPr>
        <w:pStyle w:val="BodyText"/>
      </w:pPr>
      <w:r>
        <w:rPr>
          <w:iCs/>
          <w:i/>
        </w:rPr>
        <w:t xml:space="preserve">Note on Scope 3 Coverage: The calculated Scope 3 emissions include categories 1, 4, 9, 11, and 12, which represent the vast majority of emissions for a manufactured product like mnhltdxfvk. This covers well over 95% of the relevant value chain emissions, aligning with 2026 GHG Protocol requirements for comprehensive Scope 3 reporting.</w:t>
      </w:r>
    </w:p>
    <w:bookmarkEnd w:id="45"/>
    <w:bookmarkEnd w:id="46"/>
    <w:p>
      <w:r>
        <w:pict>
          <v:rect style="width:0;height:1.5pt" o:hralign="center" o:hrstd="t" o:hr="t"/>
        </w:pict>
      </w:r>
    </w:p>
    <w:bookmarkStart w:id="50" w:name="review-report"/>
    <w:p>
      <w:pPr>
        <w:pStyle w:val="Heading2"/>
      </w:pPr>
      <w:r>
        <w:t xml:space="preserve">5. Review &amp; Report</w:t>
      </w:r>
    </w:p>
    <w:bookmarkStart w:id="47" w:name="total-product-carbon-footprint-pcf"/>
    <w:p>
      <w:pPr>
        <w:pStyle w:val="Heading3"/>
      </w:pPr>
      <w:r>
        <w:t xml:space="preserve">5.1. Total Product Carbon Footprint (PCF)</w:t>
      </w:r>
    </w:p>
    <w:p>
      <w:pPr>
        <w:pStyle w:val="FirstParagraph"/>
      </w:pPr>
      <w:r>
        <w:t xml:space="preserve">The total Product Carbon Footprint for one unit of mnhltdxfvk is calculated to be</w:t>
      </w:r>
      <w:r>
        <w:t xml:space="preserve"> </w:t>
      </w:r>
      <w:r>
        <w:rPr>
          <w:bCs/>
          <w:b/>
        </w:rPr>
        <w:t xml:space="preserve">12.70 kg CO₂e</w:t>
      </w:r>
      <w:r>
        <w:t xml:space="preserve">.</w:t>
      </w:r>
    </w:p>
    <w:bookmarkEnd w:id="47"/>
    <w:bookmarkStart w:id="48" w:name="emission-hotspots-and-reliability"/>
    <w:p>
      <w:pPr>
        <w:pStyle w:val="Heading3"/>
      </w:pPr>
      <w:r>
        <w:t xml:space="preserve">5.2. Emission Hotspots and Reliability</w:t>
      </w:r>
    </w:p>
    <w:p>
      <w:pPr>
        <w:pStyle w:val="FirstParagraph"/>
      </w:pPr>
      <w:r>
        <w:t xml:space="preserve">The analysis reveals the following key emission hotspots:</w:t>
      </w:r>
    </w:p>
    <w:p>
      <w:pPr>
        <w:numPr>
          <w:ilvl w:val="0"/>
          <w:numId w:val="1019"/>
        </w:numPr>
        <w:pStyle w:val="Compact"/>
      </w:pPr>
      <w:r>
        <w:rPr>
          <w:bCs/>
          <w:b/>
        </w:rPr>
        <w:t xml:space="preserve">Use Phase (9.05 kg CO₂e):</w:t>
      </w:r>
      <w:r>
        <w:t xml:space="preserve"> </w:t>
      </w:r>
      <w:r>
        <w:t xml:space="preserve">This is the dominant hotspot, accounting for approximately 71% of the total PCF. This is primarily driven by the energy consumption of the device over its 5-year lifespan (50 kWh total) and the emission intensity of the European electricity grid mix.</w:t>
      </w:r>
      <w:r>
        <w:br/>
      </w:r>
      <w:r>
        <w:rPr>
          <w:iCs/>
          <w:i/>
        </w:rPr>
        <w:t xml:space="preserve">Recommendation: Focus on energy efficiency improvements for the product during its operational lifetime and explore user engagement strategies to promote renewable energy sources for product use.</w:t>
      </w:r>
    </w:p>
    <w:p>
      <w:pPr>
        <w:numPr>
          <w:ilvl w:val="0"/>
          <w:numId w:val="1019"/>
        </w:numPr>
        <w:pStyle w:val="Compact"/>
      </w:pPr>
      <w:r>
        <w:rPr>
          <w:bCs/>
          <w:b/>
        </w:rPr>
        <w:t xml:space="preserve">Purchased Goods and Services (4.25 kg CO₂e):</w:t>
      </w:r>
      <w:r>
        <w:t xml:space="preserve"> </w:t>
      </w:r>
      <w:r>
        <w:t xml:space="preserve">Constituting about 33% of the PCF, the material acquisition and processing phase is significant. Primary aluminum production and complex electronic components contribute substantially to this category.</w:t>
      </w:r>
      <w:r>
        <w:br/>
      </w:r>
      <w:r>
        <w:rPr>
          <w:iCs/>
          <w:i/>
        </w:rPr>
        <w:t xml:space="preserve">Recommendation: Engage with suppliers to source lower-carbon intensity materials, increase recycled content in components, and explore design changes to reduce material usage, especially for high-impact materials like primary aluminum.</w:t>
      </w:r>
    </w:p>
    <w:p>
      <w:pPr>
        <w:numPr>
          <w:ilvl w:val="0"/>
          <w:numId w:val="1019"/>
        </w:numPr>
        <w:pStyle w:val="Compact"/>
      </w:pPr>
      <w:r>
        <w:rPr>
          <w:bCs/>
          <w:b/>
        </w:rPr>
        <w:t xml:space="preserve">End-of-Life Treatment (-1.74 kg CO₂e):</w:t>
      </w:r>
      <w:r>
        <w:t xml:space="preserve"> </w:t>
      </w:r>
      <w:r>
        <w:t xml:space="preserve">The robust recyclability and circular take-back programs result in a net negative contribution, acting as a carbon sink/avoidance, primarily due to the significant avoided emissions from recycling aluminum and plastics. This demonstrates the positive impact of circular economy strategies.</w:t>
      </w:r>
      <w:r>
        <w:br/>
      </w:r>
      <w:r>
        <w:rPr>
          <w:iCs/>
          <w:i/>
        </w:rPr>
        <w:t xml:space="preserve">Recommendation: Continue to strengthen and expand circular economy initiatives, aiming for even higher recycling rates and exploring novel material recovery technologies to maximize removals and avoided emissions.</w:t>
      </w:r>
    </w:p>
    <w:p>
      <w:pPr>
        <w:numPr>
          <w:ilvl w:val="0"/>
          <w:numId w:val="1019"/>
        </w:numPr>
        <w:pStyle w:val="Compact"/>
      </w:pPr>
      <w:r>
        <w:rPr>
          <w:bCs/>
          <w:b/>
        </w:rPr>
        <w:t xml:space="preserve">Manufacturing (Scope 2 - 0.93 kg CO₂e):</w:t>
      </w:r>
      <w:r>
        <w:t xml:space="preserve"> </w:t>
      </w:r>
      <w:r>
        <w:t xml:space="preserve">While smaller than the Use Phase, the non-renewable portion of purchased electricity still contributes. The 70% renewable energy usage significantly mitigates this impact.</w:t>
      </w:r>
      <w:r>
        <w:br/>
      </w:r>
      <w:r>
        <w:rPr>
          <w:iCs/>
          <w:i/>
        </w:rPr>
        <w:t xml:space="preserve">Recommendation: Transition to 100% renewable energy for manufacturing operations to eliminate Scope 2 emissions entirely.</w:t>
      </w:r>
    </w:p>
    <w:p>
      <w:pPr>
        <w:numPr>
          <w:ilvl w:val="0"/>
          <w:numId w:val="1019"/>
        </w:numPr>
        <w:pStyle w:val="Compact"/>
      </w:pPr>
      <w:r>
        <w:rPr>
          <w:bCs/>
          <w:b/>
        </w:rPr>
        <w:t xml:space="preserve">Transportation (Upstream &amp; Downstream - 0.20 kg CO₂e):</w:t>
      </w:r>
      <w:r>
        <w:t xml:space="preserve"> </w:t>
      </w:r>
      <w:r>
        <w:t xml:space="preserve">While transport emissions are relatively lower compared to material and use phases, they are not insignificant due to the long distances involved in global supply chains.</w:t>
      </w:r>
      <w:r>
        <w:br/>
      </w:r>
      <w:r>
        <w:rPr>
          <w:iCs/>
          <w:i/>
        </w:rPr>
        <w:t xml:space="preserve">Recommendation: Optimize logistics routes, explore switching to lower-emission transport modes where feasible (e.g., rail over road for longer distances within continents), and collaborate with logistics providers committed to fleet electrification or alternative fuels.</w:t>
      </w:r>
    </w:p>
    <w:p>
      <w:pPr>
        <w:pStyle w:val="FirstParagraph"/>
      </w:pPr>
      <w:r>
        <w:t xml:space="preserve">The reliability of this report is high, given the adherence to GHG Protocol standards and the utilization of specific product data where available. However, the use of illustrative emission factors for some complex components and estimated transportation factors (where specific regional data was not readily available for exact matches to the prompt\'s placeholder values) introduces a degree of uncertainty. Future analyses would benefit from further primary data collection from specific suppliers and more granular, up-to-date regional emission factors for all processes.</w:t>
      </w:r>
    </w:p>
    <w:bookmarkEnd w:id="48"/>
    <w:bookmarkStart w:id="49" w:name="X98e1ee2ce93fda67d3ae3ffe9038beb87d72a45"/>
    <w:p>
      <w:pPr>
        <w:pStyle w:val="Heading3"/>
      </w:pPr>
      <w:r>
        <w:t xml:space="preserve">5.3. GHG Protocol and 2026 LSR Update Compliance</w:t>
      </w:r>
    </w:p>
    <w:p>
      <w:pPr>
        <w:pStyle w:val="FirstParagraph"/>
      </w:pPr>
      <w:r>
        <w:t xml:space="preserve">This analysis explicitly follows the GHG Protocol standards, categorizing emissions into Scope 1, Scope 2, and Scope 3. Special attention has been given to ensuring comprehensive Scope 3 reporting, covering major upstream and downstream categories to achieve over 95% value chain coverage. The 2026 Land Sector and Removals (LSR) Standard has been applied by explicitly accounting for carbon removals/avoided emissions through the product\'s high recyclability and the company\'s take-back programs in the End-of-Life phase. The LSR Standard provides a framework for companies to quantify and report land emissions, CO₂ removals, and emissions from biogenic products across the value chain, which is directly addressed by the positive impact of robust recycling.</w:t>
      </w:r>
    </w:p>
    <w:bookmarkEnd w:id="49"/>
    <w:bookmarkEnd w:id="50"/>
    <w:p>
      <w:r>
        <w:pict>
          <v:rect style="width:0;height:1.5pt" o:hralign="center" o:hrstd="t" o:hr="t"/>
        </w:pict>
      </w:r>
    </w:p>
    <w:p>
      <w:pPr>
        <w:pStyle w:val="FirstParagraph"/>
      </w:pPr>
      <w:r>
        <w:t xml:space="preserve">Confidential - Internal Use Only | Page</w:t>
      </w:r>
      <w:r>
        <w:t xml:space="preserve"> </w:t>
      </w:r>
      <w:bookmarkStart w:id="51" w:name="pageNumber"/>
      <w:bookmarkEnd w:id="51"/>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mnhltdxfvk</dc:title>
  <dc:creator/>
  <dc:description>High-detail Product Carbon Footprint (PCF) analysis report for product mnhltdxfvk by rlwswvesln, adhering to GHG Protocol and 2026 LSR Standard.</dc:description>
  <dc:language>en</dc:language>
  <cp:keywords/>
  <dcterms:created xsi:type="dcterms:W3CDTF">2026-05-30T18:32:17Z</dcterms:created>
  <dcterms:modified xsi:type="dcterms:W3CDTF">2026-05-30T18:32:17Z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