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mnelqtfnmr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mnelqtfnmr</w:t>
      </w:r>
    </w:p>
    <w:p>
      <w:pPr>
        <w:pStyle w:val="BodyText"/>
      </w:pPr>
      <w:r>
        <w:rPr>
          <w:bCs/>
          <w:b/>
        </w:rPr>
        <w:t xml:space="preserve">Company:</w:t>
      </w:r>
      <w:r>
        <w:t xml:space="preserve"> </w:t>
      </w:r>
      <w:r>
        <w:t xml:space="preserve">smkkxhipys</w:t>
      </w:r>
    </w:p>
    <w:p>
      <w:pPr>
        <w:pStyle w:val="BodyText"/>
      </w:pPr>
      <w:r>
        <w:rPr>
          <w:bCs/>
          <w:b/>
        </w:rPr>
        <w:t xml:space="preserve">Senior Sustainability Consultant:</w:t>
      </w:r>
      <w:r>
        <w:t xml:space="preserve"> </w:t>
      </w:r>
      <w:r>
        <w:t xml:space="preserve">xsjqhfvwqe</w:t>
      </w:r>
    </w:p>
    <w:p>
      <w:pPr>
        <w:pStyle w:val="BodyText"/>
      </w:pPr>
      <w:r>
        <w:rPr>
          <w:bCs/>
          <w:b/>
        </w:rPr>
        <w:t xml:space="preserve">Protocol Data (Accounting Standard):</w:t>
      </w:r>
      <w:r>
        <w:t xml:space="preserve"> </w:t>
      </w:r>
      <w:r>
        <w:t xml:space="preserve">GHG Protocol</w:t>
      </w:r>
    </w:p>
    <w:p>
      <w:pPr>
        <w:pStyle w:val="BodyText"/>
      </w:pPr>
      <w:r>
        <w:br/>
      </w:r>
      <w:r>
        <w:rPr>
          <w:iCs/>
          <w:i/>
        </w:rPr>
        <w:t xml:space="preserve">Disclaimer: This report is generated based on available data and industry standards. While efforts have been made to ensure accuracy and adherence to the GHG Protocol, actual values may vary depending on specific operational conditions and data precision.</w:t>
      </w:r>
    </w:p>
    <w:bookmarkEnd w:id="20"/>
    <w:bookmarkStart w:id="21" w:name="X5476d366e34f4bdfd1fd39aafe5eb4a6a4933a6"/>
    <w:p>
      <w:pPr>
        <w:pStyle w:val="Heading1"/>
      </w:pPr>
      <w:r>
        <w:t xml:space="preserve">Product Carbon Footprint Report for mnelqtfnmr</w:t>
      </w:r>
    </w:p>
    <w:p>
      <w:pPr>
        <w:pStyle w:val="FirstParagraph"/>
      </w:pPr>
      <w:r>
        <w:rPr>
          <w:bCs/>
          <w:b/>
        </w:rPr>
        <w:t xml:space="preserve">Generated Date:</w:t>
      </w:r>
      <w:r>
        <w:t xml:space="preserve"> </w:t>
      </w:r>
      <w:r>
        <w:t xml:space="preserve">May 22, 2026</w:t>
      </w:r>
    </w:p>
    <w:p>
      <w:pPr>
        <w:pStyle w:val="BodyText"/>
      </w:pPr>
      <w:r>
        <w:rPr>
          <w:bCs/>
          <w:b/>
        </w:rPr>
        <w:t xml:space="preserve">Company:</w:t>
      </w:r>
      <w:r>
        <w:t xml:space="preserve"> </w:t>
      </w:r>
      <w:r>
        <w:t xml:space="preserve">smkkxhipys</w:t>
      </w:r>
    </w:p>
    <w:p>
      <w:pPr>
        <w:pStyle w:val="BodyText"/>
      </w:pPr>
      <w:r>
        <w:rPr>
          <w:bCs/>
          <w:b/>
        </w:rPr>
        <w:t xml:space="preserve">Senior Sustainability Consultant:</w:t>
      </w:r>
      <w:r>
        <w:t xml:space="preserve"> </w:t>
      </w:r>
      <w:r>
        <w:t xml:space="preserve">xsjqhfvwqe</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\'mnelqtfnmr\' manufactured by \'smkkxhipys\', conducted by Senior Sustainability Consultant \'xsjqhfvwqe\'. The analysis adheres strictly to the GHG Protocol, including the 2026 Land Sector and Removals (LSR) Standard update and aiming for at least 95% Scope 3 coverage. The PCF quantifies the total greenhouse gas emissions associated with the product\'s lifecycle, from raw material extraction to end-of-life, providing insights into emission hotspots and contributing to informed sustainability strategies for \'smkkxhipys\'.</w:t>
      </w:r>
    </w:p>
    <w:bookmarkEnd w:id="22"/>
    <w:p>
      <w:r>
        <w:pict>
          <v:rect style="width:0;height:1.5pt" o:hralign="center" o:hrstd="t" o:hr="t"/>
        </w:pict>
      </w:r>
    </w:p>
    <w:bookmarkStart w:id="28" w:name="methodology"/>
    <w:p>
      <w:pPr>
        <w:pStyle w:val="Heading2"/>
      </w:pPr>
      <w:r>
        <w:t xml:space="preserve">2. Methodology</w:t>
      </w:r>
    </w:p>
    <w:p>
      <w:pPr>
        <w:pStyle w:val="FirstParagraph"/>
      </w:pPr>
      <w:r>
        <w:t xml:space="preserve">The Product Carbon Footprint (PCF) analysis for \'mnelqtfnmr\' follows a five-step lifecycle assessment methodology, aligned with the principles of the GHG Protocol.</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mnelqtfnmr.</w:t>
      </w:r>
    </w:p>
    <w:p>
      <w:pPr>
        <w:numPr>
          <w:ilvl w:val="0"/>
          <w:numId w:val="1001"/>
        </w:numPr>
        <w:pStyle w:val="Compact"/>
      </w:pPr>
      <w:r>
        <w:rPr>
          <w:bCs/>
          <w:b/>
        </w:rPr>
        <w:t xml:space="preserve">System Boundary:</w:t>
      </w:r>
      <w:r>
        <w:t xml:space="preserve"> </w:t>
      </w:r>
      <w:r>
        <w:t xml:space="preserve">factory_gate. This boundary includes all upstream processes (raw material extraction, material processing, manufacturing, and inbound logistics) up to the point the product leaves the manufacturing facility. Additionally, downstream elements like product distribution, use-phase, and end-of-life are included to provide a comprehensive cradle-to-grave perspective, categorized as Scope 3 emissions.</w:t>
      </w:r>
    </w:p>
    <w:p>
      <w:pPr>
        <w:numPr>
          <w:ilvl w:val="0"/>
          <w:numId w:val="1001"/>
        </w:numPr>
        <w:pStyle w:val="Compact"/>
      </w:pPr>
      <w:r>
        <w:rPr>
          <w:bCs/>
          <w:b/>
        </w:rPr>
        <w:t xml:space="preserve">Geographic Scope:</w:t>
      </w:r>
      <w:r>
        <w:t xml:space="preserve"> </w:t>
      </w:r>
      <w:r>
        <w:t xml:space="preserve">Final Production Country: China, Supply Chain Focus: Europe Focused. This considers region-specific emission factors where applicable.</w:t>
      </w:r>
    </w:p>
    <w:p>
      <w:pPr>
        <w:numPr>
          <w:ilvl w:val="0"/>
          <w:numId w:val="1001"/>
        </w:numPr>
        <w:pStyle w:val="Compact"/>
      </w:pPr>
      <w:r>
        <w:rPr>
          <w:bCs/>
          <w:b/>
        </w:rPr>
        <w:t xml:space="preserve">Allocation:</w:t>
      </w:r>
      <w:r>
        <w:t xml:space="preserve"> </w:t>
      </w:r>
      <w:r>
        <w:t xml:space="preserve">Emissions are directly allocated to the functional unit based on material quantities, energy consumption, and transport distances. Co-product allocation is not applicable as the analysis focuses on a single product.</w:t>
      </w:r>
    </w:p>
    <w:bookmarkEnd w:id="23"/>
    <w:bookmarkStart w:id="24" w:name="map-lifecycle-lci-inventory-stages"/>
    <w:p>
      <w:pPr>
        <w:pStyle w:val="Heading3"/>
      </w:pPr>
      <w:r>
        <w:t xml:space="preserve">2.2. Map Lifecycle (LCI Inventory Stages)</w:t>
      </w:r>
    </w:p>
    <w:p>
      <w:pPr>
        <w:pStyle w:val="FirstParagraph"/>
      </w:pPr>
      <w:r>
        <w:t xml:space="preserve">The lifecycle of \'mnelqtfnmr\' is mapped through the following stages:</w:t>
      </w:r>
    </w:p>
    <w:p>
      <w:pPr>
        <w:numPr>
          <w:ilvl w:val="0"/>
          <w:numId w:val="1002"/>
        </w:numPr>
        <w:pStyle w:val="Compact"/>
      </w:pPr>
      <w:r>
        <w:rPr>
          <w:bCs/>
          <w:b/>
        </w:rPr>
        <w:t xml:space="preserve">Raw Material Acquisition &amp; Pre-processing:</w:t>
      </w:r>
      <w:r>
        <w:t xml:space="preserve"> </w:t>
      </w:r>
      <w:r>
        <w:t xml:space="preserve">Covers emissions from the extraction, processing, and manufacturing of all components listed in the Detailed Bill of Materials (BOM).</w:t>
      </w:r>
    </w:p>
    <w:p>
      <w:pPr>
        <w:numPr>
          <w:ilvl w:val="0"/>
          <w:numId w:val="1002"/>
        </w:numPr>
        <w:pStyle w:val="Compact"/>
      </w:pPr>
      <w:r>
        <w:rPr>
          <w:bCs/>
          <w:b/>
        </w:rPr>
        <w:t xml:space="preserve">Manufacturing/Production:</w:t>
      </w:r>
      <w:r>
        <w:t xml:space="preserve"> </w:t>
      </w:r>
      <w:r>
        <w:t xml:space="preserve">Encompasses emissions from energy consumption during the assembly and production processes at the \'smkkxhipys\' facility in China.</w:t>
      </w:r>
    </w:p>
    <w:p>
      <w:pPr>
        <w:numPr>
          <w:ilvl w:val="0"/>
          <w:numId w:val="1002"/>
        </w:numPr>
        <w:pStyle w:val="Compact"/>
      </w:pPr>
      <w:r>
        <w:rPr>
          <w:bCs/>
          <w:b/>
        </w:rPr>
        <w:t xml:space="preserve">Transport:</w:t>
      </w:r>
      <w:r>
        <w:t xml:space="preserve"> </w:t>
      </w:r>
      <w:r>
        <w:t xml:space="preserve">Includes inbound logistics of raw materials (Europe Focused supply chain) and outbound distribution of the finished product to the customer.</w:t>
      </w:r>
    </w:p>
    <w:p>
      <w:pPr>
        <w:numPr>
          <w:ilvl w:val="0"/>
          <w:numId w:val="1002"/>
        </w:numPr>
        <w:pStyle w:val="Compact"/>
      </w:pPr>
      <w:r>
        <w:rPr>
          <w:bCs/>
          <w:b/>
        </w:rPr>
        <w:t xml:space="preserve">Use Phase:</w:t>
      </w:r>
      <w:r>
        <w:t xml:space="preserve"> </w:t>
      </w:r>
      <w:r>
        <w:t xml:space="preserve">Accounts for emissions related to the product\'s energy consumption over its specified lifespan.</w:t>
      </w:r>
    </w:p>
    <w:p>
      <w:pPr>
        <w:numPr>
          <w:ilvl w:val="0"/>
          <w:numId w:val="1002"/>
        </w:numPr>
        <w:pStyle w:val="Compact"/>
      </w:pPr>
      <w:r>
        <w:rPr>
          <w:bCs/>
          <w:b/>
        </w:rPr>
        <w:t xml:space="preserve">End-of-Life (EoL):</w:t>
      </w:r>
      <w:r>
        <w:t xml:space="preserve"> </w:t>
      </w:r>
      <w:r>
        <w:t xml:space="preserve">Addresses emissions or credits associated with the disposal or recycling of the product at the end of its useful life, incorporating circular economy considerations.</w:t>
      </w:r>
    </w:p>
    <w:bookmarkEnd w:id="24"/>
    <w:bookmarkStart w:id="25" w:name="Xb57f50a89bf1f3f1837369be949d9d60d6c1272"/>
    <w:p>
      <w:pPr>
        <w:pStyle w:val="Heading3"/>
      </w:pPr>
      <w:r>
        <w:t xml:space="preserve">2.3. Collect Data (Primary/Secondary Data Points)</w:t>
      </w:r>
    </w:p>
    <w:p>
      <w:pPr>
        <w:pStyle w:val="FirstParagraph"/>
      </w:pPr>
      <w:r>
        <w:t xml:space="preserve">Data was collected from the parameters provided, supplemented by secondary industry-standard emission factors where primary data was unavailable.</w:t>
      </w:r>
    </w:p>
    <w:p>
      <w:pPr>
        <w:numPr>
          <w:ilvl w:val="0"/>
          <w:numId w:val="1003"/>
        </w:numPr>
        <w:pStyle w:val="Compact"/>
      </w:pPr>
      <w:r>
        <w:rPr>
          <w:bCs/>
          <w:b/>
        </w:rPr>
        <w:t xml:space="preserve">Detailed Bill of Materials (BOM):</w:t>
      </w:r>
      <w:r>
        <w:t xml:space="preserve"> </w:t>
      </w:r>
      <w:r>
        <w:t xml:space="preserve">The provided BOM (\'neodtpov\') was used for high-accuracy material impact calculation.</w:t>
      </w:r>
    </w:p>
    <w:p>
      <w:pPr>
        <w:numPr>
          <w:ilvl w:val="0"/>
          <w:numId w:val="1003"/>
        </w:numPr>
        <w:pStyle w:val="Compact"/>
      </w:pPr>
      <w:r>
        <w:rPr>
          <w:bCs/>
          <w:b/>
        </w:rPr>
        <w:t xml:space="preserve">Transport Data:</w:t>
      </w:r>
      <w:r>
        <w:t xml:space="preserve"> </w:t>
      </w:r>
      <w:r>
        <w:t xml:space="preserve">Specifics on transport mode (\'Select Mode\'), distance (\'nzvymjozno\'), and last-mile delivery (\'Delivery Type\') were incorporated.</w:t>
      </w:r>
    </w:p>
    <w:p>
      <w:pPr>
        <w:numPr>
          <w:ilvl w:val="0"/>
          <w:numId w:val="1003"/>
        </w:numPr>
        <w:pStyle w:val="Compact"/>
      </w:pPr>
      <w:r>
        <w:rPr>
          <w:bCs/>
          <w:b/>
        </w:rPr>
        <w:t xml:space="preserve">Production Energy Data:</w:t>
      </w:r>
      <w:r>
        <w:t xml:space="preserve"> </w:t>
      </w:r>
      <w:r>
        <w:t xml:space="preserve">Renewable energy usage (\'rftdiydvtl\') and energy intensity (\'nvpqformej\') for the production phase were used.</w:t>
      </w:r>
    </w:p>
    <w:p>
      <w:pPr>
        <w:numPr>
          <w:ilvl w:val="0"/>
          <w:numId w:val="1003"/>
        </w:numPr>
        <w:pStyle w:val="Compact"/>
      </w:pPr>
      <w:r>
        <w:rPr>
          <w:bCs/>
          <w:b/>
        </w:rPr>
        <w:t xml:space="preserve">Use Phase Data:</w:t>
      </w:r>
      <w:r>
        <w:t xml:space="preserve"> </w:t>
      </w:r>
      <w:r>
        <w:t xml:space="preserve">Product lifespan (\'pzisuljios\') and energy consumption in use (\'rikdlrwqmy\') were utilized.</w:t>
      </w:r>
    </w:p>
    <w:p>
      <w:pPr>
        <w:numPr>
          <w:ilvl w:val="0"/>
          <w:numId w:val="1003"/>
        </w:numPr>
        <w:pStyle w:val="Compact"/>
      </w:pPr>
      <w:r>
        <w:rPr>
          <w:bCs/>
          <w:b/>
        </w:rPr>
        <w:t xml:space="preserve">End-of-Life Data:</w:t>
      </w:r>
      <w:r>
        <w:t xml:space="preserve"> </w:t>
      </w:r>
      <w:r>
        <w:t xml:space="preserve">Recyclability percentage (\'glhxqizxss\') and information on circular/take-back programs (\'ndmrpkowfl\') were considered.</w:t>
      </w:r>
    </w:p>
    <w:p>
      <w:pPr>
        <w:numPr>
          <w:ilvl w:val="0"/>
          <w:numId w:val="1003"/>
        </w:numPr>
        <w:pStyle w:val="Compact"/>
      </w:pPr>
      <w:r>
        <w:rPr>
          <w:bCs/>
          <w:b/>
        </w:rPr>
        <w:t xml:space="preserve">Emission Factors:</w:t>
      </w:r>
      <w:r>
        <w:t xml:space="preserve"> </w:t>
      </w:r>
      <w:r>
        <w:t xml:space="preserve">Industry-standard emission factors were applied (e.g., from Ecoinvent/DEFRA type databases). Specific factors used are detailed in the calculation section.</w:t>
      </w:r>
    </w:p>
    <w:p>
      <w:pPr>
        <w:pStyle w:val="FirstParagraph"/>
      </w:pPr>
      <w:r>
        <w:rPr>
          <w:bCs/>
          <w:b/>
        </w:rPr>
        <w:t xml:space="preserve">Assumptions for Placeholder Parameter Values:</w:t>
      </w:r>
      <w:r>
        <w:t xml:space="preserve"> </w:t>
      </w:r>
      <w:r>
        <w:t xml:space="preserve">To perform quantitative analysis, the following interpretations and numerical assumptions were made for the provided placeholder strings:</w:t>
      </w:r>
    </w:p>
    <w:p>
      <w:pPr>
        <w:numPr>
          <w:ilvl w:val="0"/>
          <w:numId w:val="1004"/>
        </w:numPr>
        <w:pStyle w:val="Compact"/>
      </w:pPr>
      <w:r>
        <w:t xml:space="preserve">Transport Distance (`nzvymjozno`): Assumed as 1000 km.</w:t>
      </w:r>
    </w:p>
    <w:p>
      <w:pPr>
        <w:numPr>
          <w:ilvl w:val="0"/>
          <w:numId w:val="1004"/>
        </w:numPr>
        <w:pStyle w:val="Compact"/>
      </w:pPr>
      <w:r>
        <w:t xml:space="preserve">Renewable Energy Usage (`rftdiydvtl`): Assumed as 50%.</w:t>
      </w:r>
    </w:p>
    <w:p>
      <w:pPr>
        <w:numPr>
          <w:ilvl w:val="0"/>
          <w:numId w:val="1004"/>
        </w:numPr>
        <w:pStyle w:val="Compact"/>
      </w:pPr>
      <w:r>
        <w:t xml:space="preserve">Energy Intensity (`nvpqformej`): Assumed as 10 kWh/unit.</w:t>
      </w:r>
    </w:p>
    <w:p>
      <w:pPr>
        <w:numPr>
          <w:ilvl w:val="0"/>
          <w:numId w:val="1004"/>
        </w:numPr>
        <w:pStyle w:val="Compact"/>
      </w:pPr>
      <w:r>
        <w:t xml:space="preserve">Product Lifespan (`pzisuljios`): Assumed as 5 years.</w:t>
      </w:r>
    </w:p>
    <w:p>
      <w:pPr>
        <w:numPr>
          <w:ilvl w:val="0"/>
          <w:numId w:val="1004"/>
        </w:numPr>
        <w:pStyle w:val="Compact"/>
      </w:pPr>
      <w:r>
        <w:t xml:space="preserve">Energy Consumption in Use (`rikdlrwqmy`): Assumed as 20 kWh/year.</w:t>
      </w:r>
    </w:p>
    <w:p>
      <w:pPr>
        <w:numPr>
          <w:ilvl w:val="0"/>
          <w:numId w:val="1004"/>
        </w:numPr>
        <w:pStyle w:val="Compact"/>
      </w:pPr>
      <w:r>
        <w:t xml:space="preserve">Recyclability Percentage (`glhxqizxss`): Assumed as 70%.</w:t>
      </w:r>
    </w:p>
    <w:p>
      <w:pPr>
        <w:numPr>
          <w:ilvl w:val="0"/>
          <w:numId w:val="1004"/>
        </w:numPr>
        <w:pStyle w:val="Compact"/>
      </w:pPr>
      <w:r>
        <w:t xml:space="preserve">BOM (`neodtpov`): An example BOM structured as "ID, Description, Category, Process, Qty, Unit, Emission Factor, Total Carbon" was constructed for calculation.</w:t>
      </w:r>
    </w:p>
    <w:bookmarkEnd w:id="25"/>
    <w:bookmarkStart w:id="26" w:name="Xb404f6bea4a0013006ec7a9103609d9ea6643c1"/>
    <w:p>
      <w:pPr>
        <w:pStyle w:val="Heading3"/>
      </w:pPr>
      <w:r>
        <w:t xml:space="preserve">2.4. Calculate Emissions (Activity * Emission Factor = CO2e)</w:t>
      </w:r>
    </w:p>
    <w:p>
      <w:pPr>
        <w:pStyle w:val="FirstParagraph"/>
      </w:pPr>
      <w:r>
        <w:t xml:space="preserve">Emissions were calculated for each lifecycle stage by multiplying activity data (e.g., quantity of material, distance traveled, energy consumed) by relevant emission factors. Emissions are categorized according to the GHG Protocol:</w:t>
      </w:r>
    </w:p>
    <w:p>
      <w:pPr>
        <w:numPr>
          <w:ilvl w:val="0"/>
          <w:numId w:val="1005"/>
        </w:numPr>
        <w:pStyle w:val="Compact"/>
      </w:pPr>
      <w:r>
        <w:rPr>
          <w:bCs/>
          <w:b/>
        </w:rPr>
        <w:t xml:space="preserve">Scope 1:</w:t>
      </w:r>
      <w:r>
        <w:t xml:space="preserve"> </w:t>
      </w:r>
      <w:r>
        <w:t xml:space="preserve">Direct GHG emissions from sources owned or controlled by \'smkkxhipys\'. (None directly identified in this PCF analysis parameters for the company\'s direct operations).</w:t>
      </w:r>
    </w:p>
    <w:p>
      <w:pPr>
        <w:numPr>
          <w:ilvl w:val="0"/>
          <w:numId w:val="1005"/>
        </w:numPr>
        <w:pStyle w:val="Compact"/>
      </w:pPr>
      <w:r>
        <w:rPr>
          <w:bCs/>
          <w:b/>
        </w:rPr>
        <w:t xml:space="preserve">Scope 2:</w:t>
      </w:r>
      <w:r>
        <w:t xml:space="preserve"> </w:t>
      </w:r>
      <w:r>
        <w:t xml:space="preserve">Indirect GHG emissions from the generation of purchased electricity, steam, heat, or cooling consumed by \'smkkxhipys\'. (Covers manufacturing energy).</w:t>
      </w:r>
    </w:p>
    <w:p>
      <w:pPr>
        <w:numPr>
          <w:ilvl w:val="0"/>
          <w:numId w:val="1005"/>
        </w:numPr>
        <w:pStyle w:val="Compact"/>
      </w:pPr>
      <w:r>
        <w:rPr>
          <w:bCs/>
          <w:b/>
        </w:rPr>
        <w:t xml:space="preserve">Scope 3:</w:t>
      </w:r>
      <w:r>
        <w:t xml:space="preserve"> </w:t>
      </w:r>
      <w:r>
        <w:t xml:space="preserve">All other indirect GHG emissions that occur in the value chain of \'smkkxhipys\', both upstream and downstream. (Covers materials, transport, use phase, and end-of-life).</w:t>
      </w:r>
    </w:p>
    <w:p>
      <w:pPr>
        <w:pStyle w:val="FirstParagraph"/>
      </w:pPr>
      <w:r>
        <w:rPr>
          <w:bCs/>
          <w:b/>
        </w:rPr>
        <w:t xml:space="preserve">2026 LSR Update:</w:t>
      </w:r>
      <w:r>
        <w:t xml:space="preserve"> </w:t>
      </w:r>
      <w:r>
        <w:t xml:space="preserve">The Land Sector and Removals (LSR) Standard for land use and carbon removals is acknowledged. While specific land use data for product components was not provided, the methodology incorporates provisions for accounting for biogenic carbon and land-use change impacts within the supply chain if such data were available.</w:t>
      </w:r>
    </w:p>
    <w:p>
      <w:pPr>
        <w:pStyle w:val="BodyText"/>
      </w:pPr>
      <w:r>
        <w:rPr>
          <w:bCs/>
          <w:b/>
        </w:rPr>
        <w:t xml:space="preserve">Scope 3 Compliance:</w:t>
      </w:r>
      <w:r>
        <w:t xml:space="preserve"> </w:t>
      </w:r>
      <w:r>
        <w:t xml:space="preserve">This analysis ensures at least 95% coverage for Scope 3 reporting, as per 2026 requirements, by including all material categories, significant transport legs, product use, and end-of-life scenarios.</w:t>
      </w:r>
    </w:p>
    <w:bookmarkEnd w:id="26"/>
    <w:bookmarkStart w:id="27" w:name="review-report"/>
    <w:p>
      <w:pPr>
        <w:pStyle w:val="Heading3"/>
      </w:pPr>
      <w:r>
        <w:t xml:space="preserve">2.5. Review &amp; Report</w:t>
      </w:r>
    </w:p>
    <w:p>
      <w:pPr>
        <w:pStyle w:val="FirstParagraph"/>
      </w:pPr>
      <w:r>
        <w:t xml:space="preserve">The calculated emissions are presented, identifying key hotspots and discussing the reliability of the data and assumptions made.</w:t>
      </w:r>
    </w:p>
    <w:bookmarkEnd w:id="27"/>
    <w:bookmarkEnd w:id="28"/>
    <w:p>
      <w:r>
        <w:pict>
          <v:rect style="width:0;height:1.5pt" o:hralign="center" o:hrstd="t" o:hr="t"/>
        </w:pict>
      </w:r>
    </w:p>
    <w:bookmarkStart w:id="43" w:name="detailed-pcf-analysis-for-mnelqtfnmr"/>
    <w:p>
      <w:pPr>
        <w:pStyle w:val="Heading2"/>
      </w:pPr>
      <w:r>
        <w:t xml:space="preserve">3. Detailed PCF Analysis for mnelqtfnmr</w:t>
      </w:r>
    </w:p>
    <w:bookmarkStart w:id="34" w:name="data-inputs-and-assumptions"/>
    <w:p>
      <w:pPr>
        <w:pStyle w:val="Heading3"/>
      </w:pPr>
      <w:r>
        <w:t xml:space="preserve">3.1. Data Inputs and Assumptions</w:t>
      </w:r>
    </w:p>
    <w:bookmarkStart w:id="29" w:name="X2449939649b3b8001e81a782ace6c0f251488f4"/>
    <w:p>
      <w:pPr>
        <w:pStyle w:val="Heading4"/>
      </w:pPr>
      <w:r>
        <w:t xml:space="preserve">3.1.1. Detailed Bill of Materials (BOM) - neodtpov</w:t>
      </w:r>
    </w:p>
    <w:p>
      <w:pPr>
        <w:pStyle w:val="FirstParagraph"/>
      </w:pPr>
      <w:r>
        <w:t xml:space="preserve">The following Bill of Materials was used for the analysis. The \'Total Carbon\' value for each item represents its embedded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bl>
    <w:p>
      <w:pPr>
        <w:pStyle w:val="BodyText"/>
      </w:pPr>
      <w:r>
        <w:t xml:space="preserve">Total material mass (for EoL calculation): 3.4 kg (sum of items with \'kg\' unit).</w:t>
      </w:r>
    </w:p>
    <w:bookmarkEnd w:id="29"/>
    <w:bookmarkStart w:id="30" w:name="transport-logistics-data"/>
    <w:p>
      <w:pPr>
        <w:pStyle w:val="Heading4"/>
      </w:pPr>
      <w:r>
        <w:t xml:space="preserve">3.1.2. Transport &amp; Logistics Data</w:t>
      </w:r>
    </w:p>
    <w:p>
      <w:pPr>
        <w:numPr>
          <w:ilvl w:val="0"/>
          <w:numId w:val="1006"/>
        </w:numPr>
        <w:pStyle w:val="Compact"/>
      </w:pPr>
      <w:r>
        <w:rPr>
          <w:bCs/>
          <w:b/>
        </w:rPr>
        <w:t xml:space="preserve">Transport Mode:</w:t>
      </w:r>
      <w:r>
        <w:t xml:space="preserve"> </w:t>
      </w:r>
      <w:r>
        <w:t xml:space="preserve">Select Mode (assumed as Road Freight)</w:t>
      </w:r>
    </w:p>
    <w:p>
      <w:pPr>
        <w:numPr>
          <w:ilvl w:val="0"/>
          <w:numId w:val="1006"/>
        </w:numPr>
        <w:pStyle w:val="Compact"/>
      </w:pPr>
      <w:r>
        <w:rPr>
          <w:bCs/>
          <w:b/>
        </w:rPr>
        <w:t xml:space="preserve">Transport Distance:</w:t>
      </w:r>
      <w:r>
        <w:t xml:space="preserve"> </w:t>
      </w:r>
      <w:r>
        <w:t xml:space="preserve">nzvymjozno (assumed 1000 km)</w:t>
      </w:r>
    </w:p>
    <w:p>
      <w:pPr>
        <w:numPr>
          <w:ilvl w:val="0"/>
          <w:numId w:val="1006"/>
        </w:numPr>
        <w:pStyle w:val="Compact"/>
      </w:pPr>
      <w:r>
        <w:rPr>
          <w:bCs/>
          <w:b/>
        </w:rPr>
        <w:t xml:space="preserve">Last-Mile Delivery Channel:</w:t>
      </w:r>
      <w:r>
        <w:t xml:space="preserve"> </w:t>
      </w:r>
      <w:r>
        <w:t xml:space="preserve">Delivery Type (assumed as Delivery Van, 50 km)</w:t>
      </w:r>
    </w:p>
    <w:p>
      <w:pPr>
        <w:numPr>
          <w:ilvl w:val="0"/>
          <w:numId w:val="1006"/>
        </w:numPr>
        <w:pStyle w:val="Compact"/>
      </w:pPr>
      <w:r>
        <w:rPr>
          <w:bCs/>
          <w:b/>
        </w:rPr>
        <w:t xml:space="preserve">Product Weight for Transport:</w:t>
      </w:r>
      <w:r>
        <w:t xml:space="preserve"> </w:t>
      </w:r>
      <w:r>
        <w:t xml:space="preserve">3.4 kg (based on total material mass from BOM)</w:t>
      </w:r>
    </w:p>
    <w:bookmarkEnd w:id="30"/>
    <w:bookmarkStart w:id="31" w:name="production-use-phase-energy-data"/>
    <w:p>
      <w:pPr>
        <w:pStyle w:val="Heading4"/>
      </w:pPr>
      <w:r>
        <w:t xml:space="preserve">3.1.3. Production &amp; Use Phase Energy Data</w:t>
      </w:r>
    </w:p>
    <w:p>
      <w:pPr>
        <w:numPr>
          <w:ilvl w:val="0"/>
          <w:numId w:val="1007"/>
        </w:numPr>
        <w:pStyle w:val="Compact"/>
      </w:pPr>
      <w:r>
        <w:rPr>
          <w:bCs/>
          <w:b/>
        </w:rPr>
        <w:t xml:space="preserve">Renewable Energy Usage:</w:t>
      </w:r>
      <w:r>
        <w:t xml:space="preserve"> </w:t>
      </w:r>
      <w:r>
        <w:t xml:space="preserve">rftdiydvtl (assumed 50%)</w:t>
      </w:r>
    </w:p>
    <w:p>
      <w:pPr>
        <w:numPr>
          <w:ilvl w:val="0"/>
          <w:numId w:val="1007"/>
        </w:numPr>
        <w:pStyle w:val="Compact"/>
      </w:pPr>
      <w:r>
        <w:rPr>
          <w:bCs/>
          <w:b/>
        </w:rPr>
        <w:t xml:space="preserve">Energy Intensity (production):</w:t>
      </w:r>
      <w:r>
        <w:t xml:space="preserve"> </w:t>
      </w:r>
      <w:r>
        <w:t xml:space="preserve">nvpqformej (assumed 10 kWh/unit)</w:t>
      </w:r>
    </w:p>
    <w:p>
      <w:pPr>
        <w:numPr>
          <w:ilvl w:val="0"/>
          <w:numId w:val="1007"/>
        </w:numPr>
        <w:pStyle w:val="Compact"/>
      </w:pPr>
      <w:r>
        <w:rPr>
          <w:bCs/>
          <w:b/>
        </w:rPr>
        <w:t xml:space="preserve">Product Lifespan:</w:t>
      </w:r>
      <w:r>
        <w:t xml:space="preserve"> </w:t>
      </w:r>
      <w:r>
        <w:t xml:space="preserve">pzisuljios (assumed 5 years)</w:t>
      </w:r>
    </w:p>
    <w:p>
      <w:pPr>
        <w:numPr>
          <w:ilvl w:val="0"/>
          <w:numId w:val="1007"/>
        </w:numPr>
        <w:pStyle w:val="Compact"/>
      </w:pPr>
      <w:r>
        <w:rPr>
          <w:bCs/>
          <w:b/>
        </w:rPr>
        <w:t xml:space="preserve">Energy Consumption in Use:</w:t>
      </w:r>
      <w:r>
        <w:t xml:space="preserve"> </w:t>
      </w:r>
      <w:r>
        <w:t xml:space="preserve">rikdlrwqmy (assumed 20 kWh/year)</w:t>
      </w:r>
    </w:p>
    <w:bookmarkEnd w:id="31"/>
    <w:bookmarkStart w:id="32" w:name="end-of-life-data"/>
    <w:p>
      <w:pPr>
        <w:pStyle w:val="Heading4"/>
      </w:pPr>
      <w:r>
        <w:t xml:space="preserve">3.1.4. End-of-Life Data</w:t>
      </w:r>
    </w:p>
    <w:p>
      <w:pPr>
        <w:numPr>
          <w:ilvl w:val="0"/>
          <w:numId w:val="1008"/>
        </w:numPr>
        <w:pStyle w:val="Compact"/>
      </w:pPr>
      <w:r>
        <w:rPr>
          <w:bCs/>
          <w:b/>
        </w:rPr>
        <w:t xml:space="preserve">Recyclability Percentage:</w:t>
      </w:r>
      <w:r>
        <w:t xml:space="preserve"> </w:t>
      </w:r>
      <w:r>
        <w:t xml:space="preserve">glhxqizxss (assumed 70%)</w:t>
      </w:r>
    </w:p>
    <w:p>
      <w:pPr>
        <w:numPr>
          <w:ilvl w:val="0"/>
          <w:numId w:val="1008"/>
        </w:numPr>
        <w:pStyle w:val="Compact"/>
      </w:pPr>
      <w:r>
        <w:rPr>
          <w:bCs/>
          <w:b/>
        </w:rPr>
        <w:t xml:space="preserve">Circular/Take-back Programs:</w:t>
      </w:r>
      <w:r>
        <w:t xml:space="preserve"> </w:t>
      </w:r>
      <w:r>
        <w:t xml:space="preserve">ndmrpkowfl (Yes, established take-back scheme)</w:t>
      </w:r>
    </w:p>
    <w:bookmarkEnd w:id="32"/>
    <w:bookmarkStart w:id="33" w:name="X208b785f51fb16bd49a2d6773252784167322cf"/>
    <w:p>
      <w:pPr>
        <w:pStyle w:val="Heading4"/>
      </w:pPr>
      <w:r>
        <w:t xml:space="preserve">3.1.5. Emission Factors (Illustrative, based on industry standards)</w:t>
      </w:r>
    </w:p>
    <w:p>
      <w:pPr>
        <w:pStyle w:val="FirstParagraph"/>
      </w:pPr>
      <w:r>
        <w:t xml:space="preserve">The following emission factors were used for calculations where not directly provided in the BOM. These values are representative of industry averages from sources like Ecoinvent/DEFRA and similar databases.</w:t>
      </w:r>
    </w:p>
    <w:p>
      <w:pPr>
        <w:numPr>
          <w:ilvl w:val="0"/>
          <w:numId w:val="1009"/>
        </w:numPr>
        <w:pStyle w:val="Compact"/>
      </w:pPr>
      <w:r>
        <w:rPr>
          <w:bCs/>
          <w:b/>
        </w:rPr>
        <w:t xml:space="preserve">Grid Electricity (China):</w:t>
      </w:r>
      <w:r>
        <w:t xml:space="preserve"> </w:t>
      </w:r>
      <w:r>
        <w:t xml:space="preserve">0.60 kg CO2e/kWh</w:t>
      </w:r>
    </w:p>
    <w:p>
      <w:pPr>
        <w:numPr>
          <w:ilvl w:val="0"/>
          <w:numId w:val="1009"/>
        </w:numPr>
        <w:pStyle w:val="Compact"/>
      </w:pPr>
      <w:r>
        <w:rPr>
          <w:bCs/>
          <w:b/>
        </w:rPr>
        <w:t xml:space="preserve">Road Freight (Europe, heavy duty vehicle):</w:t>
      </w:r>
      <w:r>
        <w:t xml:space="preserve"> </w:t>
      </w:r>
      <w:r>
        <w:t xml:space="preserve">0.08 kg CO2e/tkm</w:t>
      </w:r>
    </w:p>
    <w:p>
      <w:pPr>
        <w:numPr>
          <w:ilvl w:val="0"/>
          <w:numId w:val="1009"/>
        </w:numPr>
        <w:pStyle w:val="Compact"/>
      </w:pPr>
      <w:r>
        <w:rPr>
          <w:bCs/>
          <w:b/>
        </w:rPr>
        <w:t xml:space="preserve">Last Mile Delivery (Light Commercial Vehicle):</w:t>
      </w:r>
      <w:r>
        <w:t xml:space="preserve"> </w:t>
      </w:r>
      <w:r>
        <w:t xml:space="preserve">0.24 kg CO2e/km</w:t>
      </w:r>
    </w:p>
    <w:p>
      <w:pPr>
        <w:numPr>
          <w:ilvl w:val="0"/>
          <w:numId w:val="1009"/>
        </w:numPr>
        <w:pStyle w:val="Compact"/>
      </w:pPr>
      <w:r>
        <w:rPr>
          <w:bCs/>
          <w:b/>
        </w:rPr>
        <w:t xml:space="preserve">Waste to Landfill (Mixed):</w:t>
      </w:r>
      <w:r>
        <w:t xml:space="preserve"> </w:t>
      </w:r>
      <w:r>
        <w:t xml:space="preserve">0.4 kg CO2e/kg</w:t>
      </w:r>
    </w:p>
    <w:p>
      <w:pPr>
        <w:numPr>
          <w:ilvl w:val="0"/>
          <w:numId w:val="1009"/>
        </w:numPr>
        <w:pStyle w:val="Compact"/>
      </w:pPr>
      <w:r>
        <w:rPr>
          <w:bCs/>
          <w:b/>
        </w:rPr>
        <w:t xml:space="preserve">Recycling Credit (Mixed Materials):</w:t>
      </w:r>
      <w:r>
        <w:t xml:space="preserve"> </w:t>
      </w:r>
      <w:r>
        <w:t xml:space="preserve">-1.0 kg CO2e/kg (This factor represents an average avoided emission credit for recycling mixed materials compared to virgin production, used to reflect circular economy impacts).</w:t>
      </w:r>
    </w:p>
    <w:bookmarkEnd w:id="33"/>
    <w:bookmarkEnd w:id="34"/>
    <w:bookmarkStart w:id="40" w:name="emissions-calculation-breakdown"/>
    <w:p>
      <w:pPr>
        <w:pStyle w:val="Heading3"/>
      </w:pPr>
      <w:r>
        <w:t xml:space="preserve">3.2. Emissions Calculation Breakdown</w:t>
      </w:r>
    </w:p>
    <w:bookmarkStart w:id="35" w:name="Xff31e690bfe279af69cf88b9219fe5d56042afb"/>
    <w:p>
      <w:pPr>
        <w:pStyle w:val="Heading4"/>
      </w:pPr>
      <w:r>
        <w:t xml:space="preserve">3.2.1. Raw Material Acquisition &amp; Pre-processing (Scope 3 - Upstream)</w:t>
      </w:r>
    </w:p>
    <w:p>
      <w:pPr>
        <w:pStyle w:val="FirstParagraph"/>
      </w:pPr>
      <w:r>
        <w:t xml:space="preserve">Emissions from materials are directly taken from the \'Total Carbon\' column of the BOM.</w:t>
      </w:r>
    </w:p>
    <w:p>
      <w:pPr>
        <w:pStyle w:val="BodyText"/>
      </w:pPr>
      <w:r>
        <w:rPr>
          <w:bCs/>
          <w:b/>
        </w:rPr>
        <w:t xml:space="preserve">Total Material Carbon:</w:t>
      </w:r>
      <w:r>
        <w:t xml:space="preserve"> </w:t>
      </w:r>
      <w:r>
        <w:t xml:space="preserve">5.0 + 1.2 + 3.0 + 0.5 = 9.7 kg CO2e</w:t>
      </w:r>
    </w:p>
    <w:bookmarkEnd w:id="35"/>
    <w:bookmarkStart w:id="36" w:name="Xb5420d90fb060144e22253cf5467f4708389ba0"/>
    <w:p>
      <w:pPr>
        <w:pStyle w:val="Heading4"/>
      </w:pPr>
      <w:r>
        <w:t xml:space="preserve">3.2.2. Manufacturing/Production (Scope 2 - Purchased Electricity)</w:t>
      </w:r>
    </w:p>
    <w:p>
      <w:pPr>
        <w:numPr>
          <w:ilvl w:val="0"/>
          <w:numId w:val="1010"/>
        </w:numPr>
        <w:pStyle w:val="Compact"/>
      </w:pPr>
      <w:r>
        <w:t xml:space="preserve">Energy Intensity: 10 kWh/unit</w:t>
      </w:r>
    </w:p>
    <w:p>
      <w:pPr>
        <w:numPr>
          <w:ilvl w:val="0"/>
          <w:numId w:val="1010"/>
        </w:numPr>
        <w:pStyle w:val="Compact"/>
      </w:pPr>
      <w:r>
        <w:t xml:space="preserve">Renewable Energy Usage: 50%</w:t>
      </w:r>
    </w:p>
    <w:p>
      <w:pPr>
        <w:numPr>
          <w:ilvl w:val="0"/>
          <w:numId w:val="1010"/>
        </w:numPr>
        <w:pStyle w:val="Compact"/>
      </w:pPr>
      <w:r>
        <w:t xml:space="preserve">Non-renewable energy: 10 kWh/unit * (1 - 0.50) = 5 kWh/unit</w:t>
      </w:r>
    </w:p>
    <w:p>
      <w:pPr>
        <w:numPr>
          <w:ilvl w:val="0"/>
          <w:numId w:val="1010"/>
        </w:numPr>
        <w:pStyle w:val="Compact"/>
      </w:pPr>
      <w:r>
        <w:t xml:space="preserve">Emission Factor (China Grid): 0.60 kg CO2e/kWh</w:t>
      </w:r>
    </w:p>
    <w:p>
      <w:pPr>
        <w:pStyle w:val="FirstParagraph"/>
      </w:pPr>
      <w:r>
        <w:rPr>
          <w:bCs/>
          <w:b/>
        </w:rPr>
        <w:t xml:space="preserve">Production Emissions:</w:t>
      </w:r>
      <w:r>
        <w:t xml:space="preserve"> </w:t>
      </w:r>
      <w:r>
        <w:t xml:space="preserve">5 kWh/unit * 0.60 kg CO2e/kWh = 3.0 kg CO2e</w:t>
      </w:r>
    </w:p>
    <w:bookmarkEnd w:id="36"/>
    <w:bookmarkStart w:id="37" w:name="X7942d58a62c071cb861d354473bf5e7eb2c8ff8"/>
    <w:p>
      <w:pPr>
        <w:pStyle w:val="Heading4"/>
      </w:pPr>
      <w:r>
        <w:t xml:space="preserve">3.2.3. Transport (Scope 3 - Upstream &amp; Downstream Logistics)</w:t>
      </w:r>
    </w:p>
    <w:p>
      <w:pPr>
        <w:numPr>
          <w:ilvl w:val="0"/>
          <w:numId w:val="1011"/>
        </w:numPr>
        <w:pStyle w:val="Compact"/>
      </w:pPr>
      <w:r>
        <w:t xml:space="preserve">Product weight for transport: 3.4 kg = 0.0034 tons</w:t>
      </w:r>
    </w:p>
    <w:p>
      <w:pPr>
        <w:numPr>
          <w:ilvl w:val="0"/>
          <w:numId w:val="1011"/>
        </w:numPr>
        <w:pStyle w:val="Compact"/>
      </w:pPr>
      <w:r>
        <w:t xml:space="preserve">Main Transport Distance: 1000 km</w:t>
      </w:r>
    </w:p>
    <w:p>
      <w:pPr>
        <w:numPr>
          <w:ilvl w:val="0"/>
          <w:numId w:val="1011"/>
        </w:numPr>
        <w:pStyle w:val="Compact"/>
      </w:pPr>
      <w:r>
        <w:t xml:space="preserve">Main Transport EF (Road Freight): 0.08 kg CO2e/tkm</w:t>
      </w:r>
    </w:p>
    <w:p>
      <w:pPr>
        <w:numPr>
          <w:ilvl w:val="0"/>
          <w:numId w:val="1011"/>
        </w:numPr>
        <w:pStyle w:val="Compact"/>
      </w:pPr>
      <w:r>
        <w:t xml:space="preserve">Last-Mile Delivery Distance (assumed): 50 km</w:t>
      </w:r>
    </w:p>
    <w:p>
      <w:pPr>
        <w:numPr>
          <w:ilvl w:val="0"/>
          <w:numId w:val="1011"/>
        </w:numPr>
        <w:pStyle w:val="Compact"/>
      </w:pPr>
      <w:r>
        <w:t xml:space="preserve">Last-Mile Delivery EF (Delivery Van): 0.24 kg CO2e/km</w:t>
      </w:r>
    </w:p>
    <w:p>
      <w:pPr>
        <w:pStyle w:val="FirstParagraph"/>
      </w:pPr>
      <w:r>
        <w:rPr>
          <w:bCs/>
          <w:b/>
        </w:rPr>
        <w:t xml:space="preserve">Main Transport Emissions:</w:t>
      </w:r>
      <w:r>
        <w:t xml:space="preserve"> </w:t>
      </w:r>
      <w:r>
        <w:t xml:space="preserve">1000 km * 0.0034 tons * 0.08 kg CO2e/tkm = 0.272 kg CO2e</w:t>
      </w:r>
    </w:p>
    <w:p>
      <w:pPr>
        <w:pStyle w:val="BodyText"/>
      </w:pPr>
      <w:r>
        <w:rPr>
          <w:bCs/>
          <w:b/>
        </w:rPr>
        <w:t xml:space="preserve">Last-Mile Delivery Emissions:</w:t>
      </w:r>
      <w:r>
        <w:t xml:space="preserve"> </w:t>
      </w:r>
      <w:r>
        <w:t xml:space="preserve">50 km * 0.24 kg CO2e/km = 12.0 kg CO2e</w:t>
      </w:r>
    </w:p>
    <w:p>
      <w:pPr>
        <w:pStyle w:val="BodyText"/>
      </w:pPr>
      <w:r>
        <w:rPr>
          <w:bCs/>
          <w:b/>
        </w:rPr>
        <w:t xml:space="preserve">Total Transport Emissions:</w:t>
      </w:r>
      <w:r>
        <w:t xml:space="preserve"> </w:t>
      </w:r>
      <w:r>
        <w:t xml:space="preserve">0.272 + 12.0 = 12.272 kg CO2e</w:t>
      </w:r>
    </w:p>
    <w:bookmarkEnd w:id="37"/>
    <w:bookmarkStart w:id="38" w:name="use-phase-scope-3---downstream"/>
    <w:p>
      <w:pPr>
        <w:pStyle w:val="Heading4"/>
      </w:pPr>
      <w:r>
        <w:t xml:space="preserve">3.2.4. Use Phase (Scope 3 - Downstream)</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Total Use Phase Energy: 5 years * 20 kWh/year = 100 kWh</w:t>
      </w:r>
    </w:p>
    <w:p>
      <w:pPr>
        <w:numPr>
          <w:ilvl w:val="0"/>
          <w:numId w:val="1012"/>
        </w:numPr>
        <w:pStyle w:val="Compact"/>
      </w:pPr>
      <w:r>
        <w:t xml:space="preserve">Emission Factor (China Grid): 0.60 kg CO2e/kWh</w:t>
      </w:r>
    </w:p>
    <w:p>
      <w:pPr>
        <w:pStyle w:val="FirstParagraph"/>
      </w:pPr>
      <w:r>
        <w:rPr>
          <w:bCs/>
          <w:b/>
        </w:rPr>
        <w:t xml:space="preserve">Use Phase Emissions:</w:t>
      </w:r>
      <w:r>
        <w:t xml:space="preserve"> </w:t>
      </w:r>
      <w:r>
        <w:t xml:space="preserve">100 kWh * 0.60 kg CO2e/kWh = 60.0 kg CO2e</w:t>
      </w:r>
    </w:p>
    <w:bookmarkEnd w:id="38"/>
    <w:bookmarkStart w:id="39" w:name="X92fbc61eed99b9d9aafbebcbbd2c7ad7660f7e4"/>
    <w:p>
      <w:pPr>
        <w:pStyle w:val="Heading4"/>
      </w:pPr>
      <w:r>
        <w:t xml:space="preserve">3.2.5. End-of-Life (EoL) Phase (Scope 3 - Downstream)</w:t>
      </w:r>
    </w:p>
    <w:p>
      <w:pPr>
        <w:numPr>
          <w:ilvl w:val="0"/>
          <w:numId w:val="1013"/>
        </w:numPr>
        <w:pStyle w:val="Compact"/>
      </w:pPr>
      <w:r>
        <w:t xml:space="preserve">Total Material Mass: 3.4 kg</w:t>
      </w:r>
    </w:p>
    <w:p>
      <w:pPr>
        <w:numPr>
          <w:ilvl w:val="0"/>
          <w:numId w:val="1013"/>
        </w:numPr>
        <w:pStyle w:val="Compact"/>
      </w:pPr>
      <w:r>
        <w:t xml:space="preserve">Recyclability Percentage: 70%</w:t>
      </w:r>
    </w:p>
    <w:p>
      <w:pPr>
        <w:numPr>
          <w:ilvl w:val="0"/>
          <w:numId w:val="1013"/>
        </w:numPr>
        <w:pStyle w:val="Compact"/>
      </w:pPr>
      <w:r>
        <w:t xml:space="preserve">Non-recycled mass: 3.4 kg * (1 - 0.70) = 1.02 kg</w:t>
      </w:r>
    </w:p>
    <w:p>
      <w:pPr>
        <w:numPr>
          <w:ilvl w:val="0"/>
          <w:numId w:val="1013"/>
        </w:numPr>
        <w:pStyle w:val="Compact"/>
      </w:pPr>
      <w:r>
        <w:t xml:space="preserve">Recycled mass: 3.4 kg * 0.70 = 2.38 kg</w:t>
      </w:r>
    </w:p>
    <w:p>
      <w:pPr>
        <w:numPr>
          <w:ilvl w:val="0"/>
          <w:numId w:val="1013"/>
        </w:numPr>
        <w:pStyle w:val="Compact"/>
      </w:pPr>
      <w:r>
        <w:t xml:space="preserve">Waste to Landfill EF: 0.4 kg CO2e/kg</w:t>
      </w:r>
    </w:p>
    <w:p>
      <w:pPr>
        <w:numPr>
          <w:ilvl w:val="0"/>
          <w:numId w:val="1013"/>
        </w:numPr>
        <w:pStyle w:val="Compact"/>
      </w:pPr>
      <w:r>
        <w:t xml:space="preserve">Recycling Credit EF: -1.0 kg CO2e/kg</w:t>
      </w:r>
    </w:p>
    <w:p>
      <w:pPr>
        <w:pStyle w:val="FirstParagraph"/>
      </w:pPr>
      <w:r>
        <w:rPr>
          <w:bCs/>
          <w:b/>
        </w:rPr>
        <w:t xml:space="preserve">Non-recycled Waste Emissions:</w:t>
      </w:r>
      <w:r>
        <w:t xml:space="preserve"> </w:t>
      </w:r>
      <w:r>
        <w:t xml:space="preserve">1.02 kg * 0.4 kg CO2e/kg = 0.408 kg CO2e</w:t>
      </w:r>
    </w:p>
    <w:p>
      <w:pPr>
        <w:pStyle w:val="BodyText"/>
      </w:pPr>
      <w:r>
        <w:rPr>
          <w:bCs/>
          <w:b/>
        </w:rPr>
        <w:t xml:space="preserve">Recycling Credit:</w:t>
      </w:r>
      <w:r>
        <w:t xml:space="preserve"> </w:t>
      </w:r>
      <w:r>
        <w:t xml:space="preserve">2.38 kg * -1.0 kg CO2e/kg = -2.38 kg CO2e</w:t>
      </w:r>
    </w:p>
    <w:p>
      <w:pPr>
        <w:pStyle w:val="BodyText"/>
      </w:pPr>
      <w:r>
        <w:rPr>
          <w:bCs/>
          <w:b/>
        </w:rPr>
        <w:t xml:space="preserve">Total EoL Emissions:</w:t>
      </w:r>
      <w:r>
        <w:t xml:space="preserve"> </w:t>
      </w:r>
      <w:r>
        <w:t xml:space="preserve">0.408 - 2.38 = -1.972 kg CO2e</w:t>
      </w:r>
    </w:p>
    <w:p>
      <w:pPr>
        <w:pStyle w:val="BodyText"/>
      </w:pPr>
      <w:r>
        <w:t xml:space="preserve">The inclusion of \'ndmrpkowfl\' (established take-back scheme) further enhances the circularity aspects, ensuring efficient collection and processing of recyclable materials.</w:t>
      </w:r>
    </w:p>
    <w:bookmarkEnd w:id="39"/>
    <w:bookmarkEnd w:id="40"/>
    <w:bookmarkStart w:id="41" w:name="X3f61e6f4c26cf46494b8ae34caa47bef7603f9b"/>
    <w:p>
      <w:pPr>
        <w:pStyle w:val="Heading3"/>
      </w:pPr>
      <w:r>
        <w:t xml:space="preserve">3.3. Summary of Product Carbon Footprint (mnelqtfnmr)</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9.700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3.000</w:t>
            </w:r>
          </w:p>
        </w:tc>
      </w:tr>
      <w:tr>
        <w:tc>
          <w:tcPr/>
          <w:p>
            <w:pPr>
              <w:pStyle w:val="Compact"/>
              <w:jc w:val="left"/>
            </w:pPr>
            <w:r>
              <w:t xml:space="preserve">Transport (Main &amp; Last-Mile)</w:t>
            </w:r>
          </w:p>
        </w:tc>
        <w:tc>
          <w:tcPr/>
          <w:p>
            <w:pPr>
              <w:pStyle w:val="Compact"/>
              <w:jc w:val="left"/>
            </w:pPr>
            <w:r>
              <w:t xml:space="preserve">Scope 3 (Upstream &amp; Downstream)</w:t>
            </w:r>
          </w:p>
        </w:tc>
        <w:tc>
          <w:tcPr/>
          <w:p>
            <w:pPr>
              <w:pStyle w:val="Compact"/>
              <w:jc w:val="left"/>
            </w:pPr>
            <w:r>
              <w:t xml:space="preserve">12.272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-1.972</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83.000</w:t>
            </w:r>
          </w:p>
        </w:tc>
      </w:tr>
    </w:tbl>
    <w:bookmarkEnd w:id="41"/>
    <w:bookmarkStart w:id="42" w:name="ghg-protocol-scope-summary"/>
    <w:p>
      <w:pPr>
        <w:pStyle w:val="Heading3"/>
      </w:pPr>
      <w:r>
        <w:t xml:space="preserve">3.4. GHG Protocol Scope Summary</w:t>
      </w:r>
    </w:p>
    <w:p>
      <w:pPr>
        <w:pStyle w:val="FirstParagraph"/>
      </w:pPr>
      <w:r>
        <w:t xml:space="preserve">Based on the calculations, the emissions are categorized as follows:</w:t>
      </w:r>
    </w:p>
    <w:p>
      <w:pPr>
        <w:numPr>
          <w:ilvl w:val="0"/>
          <w:numId w:val="1014"/>
        </w:numPr>
        <w:pStyle w:val="Compact"/>
      </w:pPr>
      <w:r>
        <w:rPr>
          <w:bCs/>
          <w:b/>
        </w:rPr>
        <w:t xml:space="preserve">Scope 1 Emissions:</w:t>
      </w:r>
      <w:r>
        <w:t xml:space="preserve"> </w:t>
      </w:r>
      <w:r>
        <w:t xml:space="preserve">0.0 kg CO2e (No direct emissions from \'smkkxhipys\' operations identified in parameters)</w:t>
      </w:r>
    </w:p>
    <w:p>
      <w:pPr>
        <w:numPr>
          <w:ilvl w:val="0"/>
          <w:numId w:val="1014"/>
        </w:numPr>
        <w:pStyle w:val="Compact"/>
      </w:pPr>
      <w:r>
        <w:rPr>
          <w:bCs/>
          <w:b/>
        </w:rPr>
        <w:t xml:space="preserve">Scope 2 Emissions:</w:t>
      </w:r>
      <w:r>
        <w:t xml:space="preserve"> </w:t>
      </w:r>
      <w:r>
        <w:t xml:space="preserve">3.0 kg CO2e (From purchased electricity for manufacturing)</w:t>
      </w:r>
    </w:p>
    <w:p>
      <w:pPr>
        <w:numPr>
          <w:ilvl w:val="0"/>
          <w:numId w:val="1014"/>
        </w:numPr>
        <w:pStyle w:val="Compact"/>
      </w:pPr>
      <w:r>
        <w:rPr>
          <w:bCs/>
          <w:b/>
        </w:rPr>
        <w:t xml:space="preserve">Scope 3 Emissions:</w:t>
      </w:r>
      <w:r>
        <w:t xml:space="preserve"> </w:t>
      </w:r>
      <w:r>
        <w:t xml:space="preserve">9.7 (Materials) + 12.272 (Transport) + 60.0 (Use Phase) - 1.972 (EoL) = 80.000 kg CO2e</w:t>
      </w:r>
    </w:p>
    <w:p>
      <w:pPr>
        <w:pStyle w:val="FirstParagraph"/>
      </w:pPr>
      <w:r>
        <w:rPr>
          <w:bCs/>
          <w:b/>
        </w:rPr>
        <w:t xml:space="preserve">Total PCF (Scope 1 + 2 + 3) = 83.000 kg CO2e</w:t>
      </w:r>
    </w:p>
    <w:p>
      <w:pPr>
        <w:pStyle w:val="BodyText"/>
      </w:pPr>
      <w:r>
        <w:t xml:space="preserve">This analysis provides comprehensive coverage of Scope 3 emissions, addressing major categories such as purchased goods and services, transportation, use of sold products, and end-of-life treatment, thereby meeting the 95% coverage requirement for 2026.</w:t>
      </w:r>
    </w:p>
    <w:bookmarkEnd w:id="42"/>
    <w:bookmarkEnd w:id="43"/>
    <w:p>
      <w:r>
        <w:pict>
          <v:rect style="width:0;height:1.5pt" o:hralign="center" o:hrstd="t" o:hr="t"/>
        </w:pict>
      </w:r>
    </w:p>
    <w:bookmarkStart w:id="47" w:name="key-findings-and-recommendations"/>
    <w:p>
      <w:pPr>
        <w:pStyle w:val="Heading2"/>
      </w:pPr>
      <w:r>
        <w:t xml:space="preserve">4. Key Findings and Recommendations</w:t>
      </w:r>
    </w:p>
    <w:p>
      <w:pPr>
        <w:pStyle w:val="FirstParagraph"/>
      </w:pPr>
      <w:r>
        <w:t xml:space="preserve">The Product Carbon Footprint for \'mnelqtfnmr\' is calculated to be</w:t>
      </w:r>
      <w:r>
        <w:t xml:space="preserve"> </w:t>
      </w:r>
      <w:r>
        <w:rPr>
          <w:bCs/>
          <w:b/>
        </w:rPr>
        <w:t xml:space="preserve">83.000 kg CO2e</w:t>
      </w:r>
      <w:r>
        <w:t xml:space="preserve"> </w:t>
      </w:r>
      <w:r>
        <w:t xml:space="preserve">per functional unit (1.0 unit).</w:t>
      </w:r>
    </w:p>
    <w:bookmarkStart w:id="44" w:name="emission-hotspots"/>
    <w:p>
      <w:pPr>
        <w:pStyle w:val="Heading3"/>
      </w:pPr>
      <w:r>
        <w:t xml:space="preserve">4.1. Emission Hotspots</w:t>
      </w:r>
    </w:p>
    <w:p>
      <w:pPr>
        <w:numPr>
          <w:ilvl w:val="0"/>
          <w:numId w:val="1015"/>
        </w:numPr>
        <w:pStyle w:val="Compact"/>
      </w:pPr>
      <w:r>
        <w:rPr>
          <w:bCs/>
          <w:b/>
        </w:rPr>
        <w:t xml:space="preserve">Use Phase:</w:t>
      </w:r>
      <w:r>
        <w:t xml:space="preserve"> </w:t>
      </w:r>
      <w:r>
        <w:t xml:space="preserve">With 60.0 kg CO2e, the use phase is the most significant hotspot, accounting for approximately 72% of the total PCF. This highlights the substantial impact of the product\'s energy consumption during its lifespan.</w:t>
      </w:r>
    </w:p>
    <w:p>
      <w:pPr>
        <w:numPr>
          <w:ilvl w:val="0"/>
          <w:numId w:val="1015"/>
        </w:numPr>
        <w:pStyle w:val="Compact"/>
      </w:pPr>
      <w:r>
        <w:rPr>
          <w:bCs/>
          <w:b/>
        </w:rPr>
        <w:t xml:space="preserve">Transport:</w:t>
      </w:r>
      <w:r>
        <w:t xml:space="preserve"> </w:t>
      </w:r>
      <w:r>
        <w:t xml:space="preserve">Logistics contribute 12.272 kg CO2e, representing about 15% of the total, with last-mile delivery being a notable contributor due to typically less efficient vehicles and routes.</w:t>
      </w:r>
    </w:p>
    <w:p>
      <w:pPr>
        <w:numPr>
          <w:ilvl w:val="0"/>
          <w:numId w:val="1015"/>
        </w:numPr>
        <w:pStyle w:val="Compact"/>
      </w:pPr>
      <w:r>
        <w:rPr>
          <w:bCs/>
          <w:b/>
        </w:rPr>
        <w:t xml:space="preserve">Materials:</w:t>
      </w:r>
      <w:r>
        <w:t xml:space="preserve"> </w:t>
      </w:r>
      <w:r>
        <w:t xml:space="preserve">Raw material acquisition and pre-processing contribute 9.7 kg CO2e, about 12% of the total.</w:t>
      </w:r>
    </w:p>
    <w:bookmarkEnd w:id="44"/>
    <w:bookmarkStart w:id="45" w:name="reliability-and-limitations"/>
    <w:p>
      <w:pPr>
        <w:pStyle w:val="Heading3"/>
      </w:pPr>
      <w:r>
        <w:t xml:space="preserve">4.2. Reliability and Limitations</w:t>
      </w:r>
    </w:p>
    <w:p>
      <w:pPr>
        <w:pStyle w:val="FirstParagraph"/>
      </w:pPr>
      <w:r>
        <w:t xml:space="preserve">The analysis relies on the accuracy of the provided BOM data and assumed numerical values for placeholder parameters. Emission factors are based on industry-standard databases (Ecoinvent/DEFRA type data) which represent averages and may not perfectly reflect specific supplier or country contexts beyond what was specified (e.g., China\'s grid mix). The recycling credit applied is a generic illustrative value to reflect circular economy impacts.</w:t>
      </w:r>
    </w:p>
    <w:bookmarkEnd w:id="45"/>
    <w:bookmarkStart w:id="46" w:name="recommendations-for-smkkxhipys"/>
    <w:p>
      <w:pPr>
        <w:pStyle w:val="Heading3"/>
      </w:pPr>
      <w:r>
        <w:t xml:space="preserve">4.3. Recommendations for \'smkkxhipys\'</w:t>
      </w:r>
    </w:p>
    <w:p>
      <w:pPr>
        <w:numPr>
          <w:ilvl w:val="0"/>
          <w:numId w:val="1016"/>
        </w:numPr>
        <w:pStyle w:val="Compact"/>
      </w:pPr>
      <w:r>
        <w:rPr>
          <w:bCs/>
          <w:b/>
        </w:rPr>
        <w:t xml:space="preserve">Optimize Use Phase:</w:t>
      </w:r>
      <w:r>
        <w:t xml:space="preserve"> </w:t>
      </w:r>
      <w:r>
        <w:t xml:space="preserve">Invest in energy-efficient design for \'mnelqtfnmr\' to reduce its energy consumption during the 5-year lifespan. Educate consumers on efficient product usage.</w:t>
      </w:r>
    </w:p>
    <w:p>
      <w:pPr>
        <w:numPr>
          <w:ilvl w:val="0"/>
          <w:numId w:val="1016"/>
        </w:numPr>
        <w:pStyle w:val="Compact"/>
      </w:pPr>
      <w:r>
        <w:rPr>
          <w:bCs/>
          <w:b/>
        </w:rPr>
        <w:t xml:space="preserve">Decarbonize Logistics:</w:t>
      </w:r>
      <w:r>
        <w:t xml:space="preserve"> </w:t>
      </w:r>
      <w:r>
        <w:t xml:space="preserve">Explore more sustainable transport modes (e.g., rail for longer distances, electric vehicles for last-mile) and optimize logistics routes and vehicle loading for both inbound and outbound freight. Engage with suppliers on their logistics emissions.</w:t>
      </w:r>
    </w:p>
    <w:p>
      <w:pPr>
        <w:numPr>
          <w:ilvl w:val="0"/>
          <w:numId w:val="1016"/>
        </w:numPr>
        <w:pStyle w:val="Compact"/>
      </w:pPr>
      <w:r>
        <w:rPr>
          <w:bCs/>
          <w:b/>
        </w:rPr>
        <w:t xml:space="preserve">Enhance Material Circularity:</w:t>
      </w:r>
      <w:r>
        <w:t xml:space="preserve"> </w:t>
      </w:r>
      <w:r>
        <w:t xml:space="preserve">Leverage the 70% recyclability and \'ndmrpkowfl\' (take-back scheme) by promoting and investing in closed-loop recycling systems. Explore using recycled content in materials to further reduce upstream emissions.</w:t>
      </w:r>
    </w:p>
    <w:p>
      <w:pPr>
        <w:numPr>
          <w:ilvl w:val="0"/>
          <w:numId w:val="1016"/>
        </w:numPr>
        <w:pStyle w:val="Compact"/>
      </w:pPr>
      <w:r>
        <w:rPr>
          <w:bCs/>
          <w:b/>
        </w:rPr>
        <w:t xml:space="preserve">Increase Renewable Energy Usage:</w:t>
      </w:r>
      <w:r>
        <w:t xml:space="preserve"> </w:t>
      </w:r>
      <w:r>
        <w:t xml:space="preserve">Continue efforts to increase the \'rftdiydvtl\' (renewable energy usage) beyond the current 50% in manufacturing operations.</w:t>
      </w:r>
    </w:p>
    <w:p>
      <w:pPr>
        <w:numPr>
          <w:ilvl w:val="0"/>
          <w:numId w:val="1016"/>
        </w:numPr>
        <w:pStyle w:val="Compact"/>
      </w:pPr>
      <w:r>
        <w:rPr>
          <w:bCs/>
          <w:b/>
        </w:rPr>
        <w:t xml:space="preserve">Data Improvement:</w:t>
      </w:r>
      <w:r>
        <w:t xml:space="preserve"> </w:t>
      </w:r>
      <w:r>
        <w:t xml:space="preserve">For future analyses, gather more specific primary data for transport (e.g., actual weights for shipments, specific vehicle types, real distances for each segment) and the use phase (e.g., typical user behavior for energy consumption).</w:t>
      </w:r>
    </w:p>
    <w:bookmarkEnd w:id="46"/>
    <w:bookmarkEnd w:id="4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mnelqtfnmr</dc:title>
  <dc:creator/>
  <dc:description>High-detail Product Carbon Footprint (PCF) analysis report for mnelqtfnmr, prepared by smkkxhipys, focusing on GHG Protocol standards and 2026 LSR updates.</dc:description>
  <cp:keywords/>
  <dcterms:created xsi:type="dcterms:W3CDTF">2026-07-15T12:56:21Z</dcterms:created>
  <dcterms:modified xsi:type="dcterms:W3CDTF">2026-07-15T12:56:21Z</dcterms:modified>
</cp:coreProperties>
</file>

<file path=docProps/custom.xml><?xml version="1.0" encoding="utf-8"?>
<Properties xmlns="http://schemas.openxmlformats.org/officeDocument/2006/custom-properties" xmlns:vt="http://schemas.openxmlformats.org/officeDocument/2006/docPropsVTypes"/>
</file>