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mmumfpzkqf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mmumfpzkqf</w:t>
      </w:r>
    </w:p>
    <w:p>
      <w:pPr>
        <w:pStyle w:val="BodyText"/>
      </w:pPr>
      <w:r>
        <w:rPr>
          <w:bCs/>
          <w:b/>
        </w:rPr>
        <w:t xml:space="preserve">Company:</w:t>
      </w:r>
      <w:r>
        <w:t xml:space="preserve"> </w:t>
      </w:r>
      <w:r>
        <w:t xml:space="preserve">huhfthmeou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vyrshuoktu</w:t>
      </w:r>
    </w:p>
    <w:p>
      <w:pPr>
        <w:pStyle w:val="BodyText"/>
      </w:pPr>
      <w:r>
        <w:t xml:space="preserve">Disclaimer: This report is generated based on available data and industry standards. While efforts have been made to ensure accuracy, the actual environmental impacts may vary based on real-world conditions and data availability. This analysis provides an estimate to inform sustainability strategies.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 Wednesday, 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mmumfpzkqf</w:t>
      </w:r>
      <w:r>
        <w:t xml:space="preserve"> </w:t>
      </w:r>
      <w:r>
        <w:t xml:space="preserve">manufactured by</w:t>
      </w:r>
      <w:r>
        <w:t xml:space="preserve"> </w:t>
      </w:r>
      <w:r>
        <w:rPr>
          <w:bCs/>
          <w:b/>
        </w:rPr>
        <w:t xml:space="preserve">huhfthmeou</w:t>
      </w:r>
      <w:r>
        <w:t xml:space="preserve">. The assessment was conducted by Senior Sustainability Consultant</w:t>
      </w:r>
      <w:r>
        <w:t xml:space="preserve"> </w:t>
      </w:r>
      <w:r>
        <w:rPr>
          <w:bCs/>
          <w:b/>
        </w:rPr>
        <w:t xml:space="preserve">vyrshuoktu</w:t>
      </w:r>
      <w:r>
        <w:t xml:space="preserve">, specializing in GHG Protocol. Adhering strictly to the GHG Protocol and incorporating the 2026 Land Sector and Removals (LSR) Standard update, this analysis covers the entire lifecycle from raw material acquisition to end-of-life. Special attention has been paid to achieving at least 95% coverage for Scope 3 emissions, as required by 2026 standards. The primary goal is to identify emission hotspots and provide actionable insights for carbon reduction strategies.</w:t>
      </w:r>
    </w:p>
    <w:p>
      <w:r>
        <w:pict>
          <v:rect style="width:0;height:1.5pt" o:hralign="center" o:hrstd="t" o:hr="t"/>
        </w:pict>
      </w:r>
    </w:p>
    <w:bookmarkEnd w:id="22"/>
    <w:bookmarkStart w:id="28" w:name="defining-the-scope-of-analysis"/>
    <w:p>
      <w:pPr>
        <w:pStyle w:val="Heading2"/>
      </w:pPr>
      <w:r>
        <w:t xml:space="preserve">1. Defining the Scope of Analysis</w:t>
      </w:r>
    </w:p>
    <w:p>
      <w:pPr>
        <w:pStyle w:val="FirstParagraph"/>
      </w:pPr>
      <w:r>
        <w:t xml:space="preserve">The scope of this Product Carbon Footprint (PCF) analysis is established in accordance with the Greenhouse Gas (GHG) Protocol Product Standard.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mmumfpzkqf.</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(factory_gate).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bookmarkEnd w:id="26"/>
    <w:bookmarkStart w:id="27" w:name="allocation"/>
    <w:p>
      <w:pPr>
        <w:pStyle w:val="Heading3"/>
      </w:pPr>
      <w:r>
        <w:t xml:space="preserve">1.5 Allocation</w:t>
      </w:r>
    </w:p>
    <w:p>
      <w:pPr>
        <w:pStyle w:val="FirstParagraph"/>
      </w:pPr>
      <w:r>
        <w:t xml:space="preserve">Where co-production or multi-functional processes occur, emissions have been allocated based on mass allocation. For recycled content, the "cut-off" approach is applied, where the burden of virgin material production is assigned to the first user of the material, and subsequent users of recycled material receive no burden from past material production.</w:t>
      </w:r>
    </w:p>
    <w:p>
      <w:r>
        <w:pict>
          <v:rect style="width:0;height:1.5pt" o:hralign="center" o:hrstd="t" o:hr="t"/>
        </w:pict>
      </w:r>
    </w:p>
    <w:bookmarkEnd w:id="27"/>
    <w:bookmarkEnd w:id="28"/>
    <w:bookmarkStart w:id="34" w:name="X7bef71408051f439662e84dea159ae766376aef"/>
    <w:p>
      <w:pPr>
        <w:pStyle w:val="Heading2"/>
      </w:pPr>
      <w:r>
        <w:t xml:space="preserve">2. Mapping the Lifecycle Inventory (LCI) Stages</w:t>
      </w:r>
    </w:p>
    <w:p>
      <w:pPr>
        <w:pStyle w:val="FirstParagraph"/>
      </w:pPr>
      <w:r>
        <w:t xml:space="preserve">The lifecycle of mmumfpzkqf is broken down into the following stages, with detailed consideration of upstream and downstream activities:</w:t>
      </w:r>
    </w:p>
    <w:bookmarkStart w:id="29" w:name="material-acquisition-pre-processing"/>
    <w:p>
      <w:pPr>
        <w:pStyle w:val="Heading3"/>
      </w:pPr>
      <w:r>
        <w:t xml:space="preserve">2.1 Material Acquisition &amp; Pre-processing</w:t>
      </w:r>
    </w:p>
    <w:p>
      <w:pPr>
        <w:pStyle w:val="FirstParagraph"/>
      </w:pPr>
      <w:r>
        <w:t xml:space="preserve">This stage includes the extraction, processing, and manufacturing of all raw materials and components as detailed in the Bill of Materials (BOM).</w:t>
      </w:r>
    </w:p>
    <w:bookmarkEnd w:id="29"/>
    <w:bookmarkStart w:id="30" w:name="manufacturingproduction"/>
    <w:p>
      <w:pPr>
        <w:pStyle w:val="Heading3"/>
      </w:pPr>
      <w:r>
        <w:t xml:space="preserve">2.2 Manufacturing/Production</w:t>
      </w:r>
    </w:p>
    <w:p>
      <w:pPr>
        <w:pStyle w:val="FirstParagraph"/>
      </w:pPr>
      <w:r>
        <w:t xml:space="preserve">Covers the energy consumption and process emissions at the</w:t>
      </w:r>
      <w:r>
        <w:t xml:space="preserve"> </w:t>
      </w:r>
      <w:r>
        <w:rPr>
          <w:bCs/>
          <w:b/>
        </w:rPr>
        <w:t xml:space="preserve">huhfthmeou</w:t>
      </w:r>
      <w:r>
        <w:t xml:space="preserve"> </w:t>
      </w:r>
      <w:r>
        <w:t xml:space="preserve">manufacturing facility in China, including impacts from purchased electricity.</w:t>
      </w:r>
    </w:p>
    <w:bookmarkEnd w:id="30"/>
    <w:bookmarkStart w:id="31" w:name="X2826aef15a4931d77b717fa48d8f8fa39a0fa42"/>
    <w:p>
      <w:pPr>
        <w:pStyle w:val="Heading3"/>
      </w:pPr>
      <w:r>
        <w:t xml:space="preserve">2.3 Transport &amp; Distribution (Upstream and Downstream)</w:t>
      </w:r>
    </w:p>
    <w:p>
      <w:pPr>
        <w:pStyle w:val="FirstParagraph"/>
      </w:pPr>
      <w:r>
        <w:t xml:space="preserve">Encompasses all transportation of raw materials and components to the manufacturing facility, as well as the distribution of the finished product to the customer.</w:t>
      </w:r>
    </w:p>
    <w:bookmarkEnd w:id="31"/>
    <w:bookmarkStart w:id="32" w:name="use-phase"/>
    <w:p>
      <w:pPr>
        <w:pStyle w:val="Heading3"/>
      </w:pPr>
      <w:r>
        <w:t xml:space="preserve">2.4 Use Phase</w:t>
      </w:r>
    </w:p>
    <w:p>
      <w:pPr>
        <w:pStyle w:val="FirstParagraph"/>
      </w:pPr>
      <w:r>
        <w:t xml:space="preserve">Addresses emissions resulting from the product\'s anticipated use over its declared lifespan, primarily driven by energy consumption during operation.</w:t>
      </w:r>
    </w:p>
    <w:bookmarkEnd w:id="32"/>
    <w:bookmarkStart w:id="33" w:name="end-of-life-eol-treatment"/>
    <w:p>
      <w:pPr>
        <w:pStyle w:val="Heading3"/>
      </w:pPr>
      <w:r>
        <w:t xml:space="preserve">2.5 End-of-Life (EoL) Treatment</w:t>
      </w:r>
    </w:p>
    <w:p>
      <w:pPr>
        <w:pStyle w:val="FirstParagraph"/>
      </w:pPr>
      <w:r>
        <w:t xml:space="preserve">Calculates emissions and potential avoided emissions from the disposal, recycling, or recovery of the product at the end of its functional life.</w:t>
      </w:r>
    </w:p>
    <w:p>
      <w:r>
        <w:pict>
          <v:rect style="width:0;height:1.5pt" o:hralign="center" o:hrstd="t" o:hr="t"/>
        </w:pict>
      </w:r>
    </w:p>
    <w:bookmarkEnd w:id="33"/>
    <w:bookmarkEnd w:id="34"/>
    <w:bookmarkStart w:id="40" w:name="X97bbffcdf2fad208c7b8a82f132c605af580884"/>
    <w:p>
      <w:pPr>
        <w:pStyle w:val="Heading2"/>
      </w:pPr>
      <w:r>
        <w:t xml:space="preserve">3. Data Collection (Primary and Secondary Data Points)</w:t>
      </w:r>
    </w:p>
    <w:p>
      <w:pPr>
        <w:pStyle w:val="FirstParagraph"/>
      </w:pPr>
      <w:r>
        <w:t xml:space="preserve">This section details the primary and secondary data points collected for the analysis, utilizing the provided parameters and incorporating industry-standard emission factors from databases like Ecoinvent and DEFRA.</w:t>
      </w:r>
    </w:p>
    <w:bookmarkStart w:id="35" w:name="Xf808e0103213e12441d18e7b992c61c3e6d9cdc"/>
    <w:p>
      <w:pPr>
        <w:pStyle w:val="Heading3"/>
      </w:pPr>
      <w:r>
        <w:t xml:space="preserve">3.1 Detailed Bill of Materials (BOM): fqylpqrh (Illustrative Data)</w:t>
      </w:r>
    </w:p>
    <w:p>
      <w:pPr>
        <w:pStyle w:val="FirstParagraph"/>
      </w:pPr>
      <w:r>
        <w:t xml:space="preserve">The following table presents a hypothetical Bill of Materials for mmumfpzkqf, structured as per the format: ID, Description, Category, Process, Qty, Unit, Emission Factor (kgCO2e/unit or kgCO2e/kg), Total Carbon (kgCO2e). These values are illustrative and used for calculation in this report.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Main Circuit Board</w:t>
            </w:r>
          </w:p>
        </w:tc>
        <w:tc>
          <w:tcPr/>
          <w:p>
            <w:pPr>
              <w:pStyle w:val="Compact"/>
              <w:jc w:val="left"/>
            </w:pPr>
            <w:r>
              <w:t xml:space="preserve">Electronics</w:t>
            </w:r>
          </w:p>
        </w:tc>
        <w:tc>
          <w:tcPr/>
          <w:p>
            <w:pPr>
              <w:pStyle w:val="Compact"/>
              <w:jc w:val="left"/>
            </w:pPr>
            <w:r>
              <w:t xml:space="preserve">Assembly &amp; Components Mfg.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M003</w:t>
            </w:r>
          </w:p>
        </w:tc>
        <w:tc>
          <w:tcPr/>
          <w:p>
            <w:pPr>
              <w:pStyle w:val="Compact"/>
              <w:jc w:val="left"/>
            </w:pPr>
            <w:r>
              <w:t xml:space="preserve">Lithium-Ion Battery (80 Wh)</w:t>
            </w:r>
          </w:p>
        </w:tc>
        <w:tc>
          <w:tcPr/>
          <w:p>
            <w:pPr>
              <w:pStyle w:val="Compact"/>
              <w:jc w:val="left"/>
            </w:pPr>
            <w:r>
              <w:t xml:space="preserve">Metals &amp; Chemicals</w:t>
            </w:r>
          </w:p>
        </w:tc>
        <w:tc>
          <w:tcPr/>
          <w:p>
            <w:pPr>
              <w:pStyle w:val="Compact"/>
              <w:jc w:val="left"/>
            </w:pPr>
            <w:r>
              <w:t xml:space="preserve">Battery Cell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w:t>
            </w:r>
          </w:p>
        </w:tc>
      </w:tr>
      <w:tr>
        <w:tc>
          <w:tcPr/>
          <w:p>
            <w:pPr>
              <w:pStyle w:val="Compact"/>
              <w:jc w:val="left"/>
            </w:pPr>
            <w:r>
              <w:t xml:space="preserve">M005</w:t>
            </w:r>
          </w:p>
        </w:tc>
        <w:tc>
          <w:tcPr/>
          <w:p>
            <w:pPr>
              <w:pStyle w:val="Compact"/>
              <w:jc w:val="left"/>
            </w:pPr>
            <w:r>
              <w:t xml:space="preserve">Paperboard Packaging</w:t>
            </w:r>
          </w:p>
        </w:tc>
        <w:tc>
          <w:tcPr/>
          <w:p>
            <w:pPr>
              <w:pStyle w:val="Compact"/>
              <w:jc w:val="left"/>
            </w:pPr>
            <w:r>
              <w:t xml:space="preserve">Paper &amp; Cardboard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bl>
    <w:p>
      <w:pPr>
        <w:pStyle w:val="BodyText"/>
      </w:pPr>
      <w:r>
        <w:t xml:space="preserve">*Note: The "Emission Factor" for BOM items represents the cradle-to-gate impact per unit/kg of that specific material/component as sourced. The "Total Carbon" is Qty * Emission Factor. These are illustrative values derived from industry averages and search results.</w:t>
      </w:r>
    </w:p>
    <w:bookmarkEnd w:id="35"/>
    <w:bookmarkStart w:id="36" w:name="Xf05303e13273477b8d8a424fb4e55baab798c0f"/>
    <w:p>
      <w:pPr>
        <w:pStyle w:val="Heading3"/>
      </w:pPr>
      <w:r>
        <w:t xml:space="preserve">3.2 Transport Logistics Data (Illustrative Data)</w:t>
      </w:r>
    </w:p>
    <w:p>
      <w:pPr>
        <w:numPr>
          <w:ilvl w:val="0"/>
          <w:numId w:val="1005"/>
        </w:numPr>
        <w:pStyle w:val="Compact"/>
      </w:pPr>
      <w:r>
        <w:rPr>
          <w:bCs/>
          <w:b/>
        </w:rPr>
        <w:t xml:space="preserve">Primary Transport Mode:</w:t>
      </w:r>
      <w:r>
        <w:t xml:space="preserve"> </w:t>
      </w:r>
      <w:r>
        <w:t xml:space="preserve">Ocean Freight (container ship).</w:t>
      </w:r>
    </w:p>
    <w:p>
      <w:pPr>
        <w:numPr>
          <w:ilvl w:val="0"/>
          <w:numId w:val="1005"/>
        </w:numPr>
        <w:pStyle w:val="Compact"/>
      </w:pPr>
      <w:r>
        <w:rPr>
          <w:bCs/>
          <w:b/>
        </w:rPr>
        <w:t xml:space="preserve">Primary Transport Distance:</w:t>
      </w:r>
      <w:r>
        <w:t xml:space="preserve"> </w:t>
      </w:r>
      <w:r>
        <w:t xml:space="preserve">15,000 km (e.g., China to Europe).</w:t>
      </w:r>
    </w:p>
    <w:p>
      <w:pPr>
        <w:numPr>
          <w:ilvl w:val="0"/>
          <w:numId w:val="1005"/>
        </w:numPr>
        <w:pStyle w:val="Compact"/>
      </w:pPr>
      <w:r>
        <w:rPr>
          <w:bCs/>
          <w:b/>
        </w:rPr>
        <w:t xml:space="preserve">Last-Mile Delivery Channel:</w:t>
      </w:r>
      <w:r>
        <w:t xml:space="preserve"> </w:t>
      </w:r>
      <w:r>
        <w:t xml:space="preserve">Road Freight (Light Commercial Vehicle).</w:t>
      </w:r>
    </w:p>
    <w:p>
      <w:pPr>
        <w:numPr>
          <w:ilvl w:val="0"/>
          <w:numId w:val="1005"/>
        </w:numPr>
        <w:pStyle w:val="Compact"/>
      </w:pPr>
      <w:r>
        <w:rPr>
          <w:bCs/>
          <w:b/>
        </w:rPr>
        <w:t xml:space="preserve">Last-Mile Delivery Distance:</w:t>
      </w:r>
      <w:r>
        <w:t xml:space="preserve"> </w:t>
      </w:r>
      <w:r>
        <w:t xml:space="preserve">500 km.</w:t>
      </w:r>
    </w:p>
    <w:p>
      <w:pPr>
        <w:numPr>
          <w:ilvl w:val="0"/>
          <w:numId w:val="1005"/>
        </w:numPr>
        <w:pStyle w:val="Compact"/>
      </w:pPr>
      <w:r>
        <w:rPr>
          <w:bCs/>
          <w:b/>
        </w:rPr>
        <w:t xml:space="preserve">Assumed product weight for transport:</w:t>
      </w:r>
      <w:r>
        <w:t xml:space="preserve"> </w:t>
      </w:r>
      <w:r>
        <w:t xml:space="preserve">1.0 kg (based on BOM components).</w:t>
      </w:r>
    </w:p>
    <w:bookmarkEnd w:id="36"/>
    <w:bookmarkStart w:id="37" w:name="production-energy-data-illustrative-data"/>
    <w:p>
      <w:pPr>
        <w:pStyle w:val="Heading3"/>
      </w:pPr>
      <w:r>
        <w:t xml:space="preserve">3.3 Production Energy Data (Illustrative Data)</w:t>
      </w:r>
    </w:p>
    <w:p>
      <w:pPr>
        <w:numPr>
          <w:ilvl w:val="0"/>
          <w:numId w:val="1006"/>
        </w:numPr>
        <w:pStyle w:val="Compact"/>
      </w:pPr>
      <w:r>
        <w:rPr>
          <w:bCs/>
          <w:b/>
        </w:rPr>
        <w:t xml:space="preserve">Renewable Energy Usage:</w:t>
      </w:r>
      <w:r>
        <w:t xml:space="preserve"> </w:t>
      </w:r>
      <w:r>
        <w:t xml:space="preserve">75% (Directly purchased or generated renewable energy at the manufacturing facility).</w:t>
      </w:r>
    </w:p>
    <w:p>
      <w:pPr>
        <w:numPr>
          <w:ilvl w:val="0"/>
          <w:numId w:val="1006"/>
        </w:numPr>
        <w:pStyle w:val="Compact"/>
      </w:pPr>
      <w:r>
        <w:rPr>
          <w:bCs/>
          <w:b/>
        </w:rPr>
        <w:t xml:space="preserve">Energy Intensity (kWh/unit):</w:t>
      </w:r>
      <w:r>
        <w:t xml:space="preserve"> </w:t>
      </w:r>
      <w:r>
        <w:t xml:space="preserve">25 kWh/unit (Electricity consumption per unit of mmumfpzkqf manufactured).</w:t>
      </w:r>
    </w:p>
    <w:p>
      <w:pPr>
        <w:numPr>
          <w:ilvl w:val="0"/>
          <w:numId w:val="1006"/>
        </w:numPr>
        <w:pStyle w:val="Compact"/>
      </w:pPr>
      <w:r>
        <w:rPr>
          <w:bCs/>
          <w:b/>
        </w:rPr>
        <w:t xml:space="preserve">Grid Electricity Emission Factor (Europe Focused, 2026 estimate):</w:t>
      </w:r>
      <w:r>
        <w:t xml:space="preserve"> </w:t>
      </w:r>
      <w:r>
        <w:t xml:space="preserve">Approximately 0.170 kgCO2e/kWh for the European Union grid mix in 2025, with a forecast to fall to 0.090 kgCO2e/kWh by 2030. For 2026, we can interpolate or use a conservative estimate around 0.160 kgCO2e/kWh, considering continued decarbonization. We will use a general European residual mix factor for purchased grid electricity not covered by GOs, which averaged 435 gCO2/kWh (0.435 kgCO2e/kWh) in 2025.. Given the 75% renewable energy usage, only 25% will draw from the residual mix. We will apply the latest available residual mix for non-renewable electricity portion.</w:t>
      </w:r>
    </w:p>
    <w:bookmarkEnd w:id="37"/>
    <w:bookmarkStart w:id="38" w:name="use-phase-data-illustrative-data"/>
    <w:p>
      <w:pPr>
        <w:pStyle w:val="Heading3"/>
      </w:pPr>
      <w:r>
        <w:t xml:space="preserve">3.4 Use Phase Data (Illustrative Data)</w:t>
      </w:r>
    </w:p>
    <w:p>
      <w:pPr>
        <w:numPr>
          <w:ilvl w:val="0"/>
          <w:numId w:val="1007"/>
        </w:numPr>
        <w:pStyle w:val="Compact"/>
      </w:pPr>
      <w:r>
        <w:rPr>
          <w:bCs/>
          <w:b/>
        </w:rPr>
        <w:t xml:space="preserve">Product Lifespan:</w:t>
      </w:r>
      <w:r>
        <w:t xml:space="preserve"> </w:t>
      </w:r>
      <w:r>
        <w:t xml:space="preserve">5 years (phndpirjql).</w:t>
      </w:r>
    </w:p>
    <w:p>
      <w:pPr>
        <w:numPr>
          <w:ilvl w:val="0"/>
          <w:numId w:val="1007"/>
        </w:numPr>
        <w:pStyle w:val="Compact"/>
      </w:pPr>
      <w:r>
        <w:rPr>
          <w:bCs/>
          <w:b/>
        </w:rPr>
        <w:t xml:space="preserve">Energy Consumption in Use:</w:t>
      </w:r>
      <w:r>
        <w:t xml:space="preserve"> </w:t>
      </w:r>
      <w:r>
        <w:t xml:space="preserve">10 kWh/year (vtzorvumgw).</w:t>
      </w:r>
    </w:p>
    <w:p>
      <w:pPr>
        <w:numPr>
          <w:ilvl w:val="0"/>
          <w:numId w:val="1007"/>
        </w:numPr>
        <w:pStyle w:val="Compact"/>
      </w:pPr>
      <w:r>
        <w:rPr>
          <w:bCs/>
          <w:b/>
        </w:rPr>
        <w:t xml:space="preserve">Grid Electricity Emission Factor (User Location, Europe Focused):</w:t>
      </w:r>
      <w:r>
        <w:t xml:space="preserve"> </w:t>
      </w:r>
      <w:r>
        <w:t xml:space="preserve">For the use phase, we will assume the European average grid mix for electricity, estimated around 0.170 kgCO2e/kWh for 2025, trending downwards.</w:t>
      </w:r>
    </w:p>
    <w:bookmarkEnd w:id="38"/>
    <w:bookmarkStart w:id="39" w:name="X39afe5e5fd3bf9976acf485940c02bc0fe36ec2"/>
    <w:p>
      <w:pPr>
        <w:pStyle w:val="Heading3"/>
      </w:pPr>
      <w:r>
        <w:t xml:space="preserve">3.5 End-of-Life (EoL) Scenarios (Illustrative Data)</w:t>
      </w:r>
    </w:p>
    <w:p>
      <w:pPr>
        <w:numPr>
          <w:ilvl w:val="0"/>
          <w:numId w:val="1008"/>
        </w:numPr>
        <w:pStyle w:val="Compact"/>
      </w:pPr>
      <w:r>
        <w:rPr>
          <w:bCs/>
          <w:b/>
        </w:rPr>
        <w:t xml:space="preserve">Recyclability Percentage:</w:t>
      </w:r>
      <w:r>
        <w:t xml:space="preserve"> </w:t>
      </w:r>
      <w:r>
        <w:t xml:space="preserve">80% (kmsvvoeohi).</w:t>
      </w:r>
    </w:p>
    <w:p>
      <w:pPr>
        <w:numPr>
          <w:ilvl w:val="0"/>
          <w:numId w:val="1008"/>
        </w:numPr>
        <w:pStyle w:val="Compact"/>
      </w:pPr>
      <w:r>
        <w:rPr>
          <w:bCs/>
          <w:b/>
        </w:rPr>
        <w:t xml:space="preserve">Circular/Take-back Programs:</w:t>
      </w:r>
      <w:r>
        <w:t xml:space="preserve"> </w:t>
      </w:r>
      <w:r>
        <w:t xml:space="preserve">Active refurbishment and recycling program (wdrizmpghf). This program facilitates the high recyclability rate.</w:t>
      </w:r>
    </w:p>
    <w:p>
      <w:pPr>
        <w:numPr>
          <w:ilvl w:val="0"/>
          <w:numId w:val="1008"/>
        </w:numPr>
        <w:pStyle w:val="Compact"/>
      </w:pPr>
      <w:r>
        <w:rPr>
          <w:bCs/>
          <w:b/>
        </w:rPr>
        <w:t xml:space="preserve">Disposal Rate:</w:t>
      </w:r>
      <w:r>
        <w:t xml:space="preserve"> </w:t>
      </w:r>
      <w:r>
        <w:t xml:space="preserve">20% (remaining after recycling).</w:t>
      </w:r>
    </w:p>
    <w:p>
      <w:pPr>
        <w:numPr>
          <w:ilvl w:val="0"/>
          <w:numId w:val="1008"/>
        </w:numPr>
        <w:pStyle w:val="Compact"/>
      </w:pPr>
      <w:r>
        <w:rPr>
          <w:bCs/>
          <w:b/>
        </w:rPr>
        <w:t xml:space="preserve">EoL Treatment Emission Factors:</w:t>
      </w:r>
    </w:p>
    <w:p>
      <w:pPr>
        <w:numPr>
          <w:ilvl w:val="1"/>
          <w:numId w:val="1009"/>
        </w:numPr>
        <w:pStyle w:val="Compact"/>
      </w:pPr>
      <w:r>
        <w:t xml:space="preserve">Recycling: Assumed -0.5 kgCO2e/kg (avoided emissions credit for certain materials).</w:t>
      </w:r>
    </w:p>
    <w:p>
      <w:pPr>
        <w:numPr>
          <w:ilvl w:val="1"/>
          <w:numId w:val="1009"/>
        </w:numPr>
        <w:pStyle w:val="Compact"/>
      </w:pPr>
      <w:r>
        <w:t xml:space="preserve">Landfilling/Incineration: Assumed 1.0 kgCO2e/kg for non-recyclable parts (considering energy recovery if applicable).</w:t>
      </w:r>
    </w:p>
    <w:p>
      <w:r>
        <w:pict>
          <v:rect style="width:0;height:1.5pt" o:hralign="center" o:hrstd="t" o:hr="t"/>
        </w:pict>
      </w:r>
    </w:p>
    <w:bookmarkEnd w:id="39"/>
    <w:bookmarkEnd w:id="40"/>
    <w:bookmarkStart w:id="51" w:name="X439a6e6dcb43c636bf515ffaf3f59bce0bd6490"/>
    <w:p>
      <w:pPr>
        <w:pStyle w:val="Heading2"/>
      </w:pPr>
      <w:r>
        <w:t xml:space="preserve">4. Emission Calculation (Activity * Emission Factor = CO2e)</w:t>
      </w:r>
    </w:p>
    <w:p>
      <w:pPr>
        <w:pStyle w:val="FirstParagraph"/>
      </w:pPr>
      <w:r>
        <w:t xml:space="preserve">The emissions are calculated for each stage of the product lifecycle and categorized according to the GHG Protocol Scopes. The calculations utilize the illustrative data points and emission factors.</w:t>
      </w:r>
    </w:p>
    <w:bookmarkStart w:id="41" w:name="scope-1-emissions-direct-emissions"/>
    <w:p>
      <w:pPr>
        <w:pStyle w:val="Heading3"/>
      </w:pPr>
      <w:r>
        <w:t xml:space="preserve">4.1 Scope 1 Emissions (Direct Emissions)</w:t>
      </w:r>
    </w:p>
    <w:p>
      <w:pPr>
        <w:pStyle w:val="FirstParagraph"/>
      </w:pPr>
      <w:r>
        <w:t xml:space="preserve">As the system boundary is "factory_gate" and the primary focus is on the product\'s PCF rather than the company\'s operational footprint, direct emissions from the manufacturing facility (e.g., combustion of owned/controlled boilers) are assumed to be negligible or covered within the Scope 2 energy intensity if embedded in electricity generation, and process emissions are captured in the BOM item\'s cradle-to-gate factors. For this PCF, no significant Scope 1 emissions are directly allocated.</w:t>
      </w:r>
    </w:p>
    <w:bookmarkEnd w:id="41"/>
    <w:bookmarkStart w:id="42"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consumed during the manufacturing process.</w:t>
      </w:r>
    </w:p>
    <w:p>
      <w:pPr>
        <w:numPr>
          <w:ilvl w:val="0"/>
          <w:numId w:val="1010"/>
        </w:numPr>
        <w:pStyle w:val="Compact"/>
      </w:pPr>
      <w:r>
        <w:t xml:space="preserve">Total Electricity Consumption: 25 kWh/unit</w:t>
      </w:r>
    </w:p>
    <w:p>
      <w:pPr>
        <w:numPr>
          <w:ilvl w:val="0"/>
          <w:numId w:val="1010"/>
        </w:numPr>
        <w:pStyle w:val="Compact"/>
      </w:pPr>
      <w:r>
        <w:t xml:space="preserve">Renewable Energy Share: 75%</w:t>
      </w:r>
    </w:p>
    <w:p>
      <w:pPr>
        <w:numPr>
          <w:ilvl w:val="0"/>
          <w:numId w:val="1010"/>
        </w:numPr>
        <w:pStyle w:val="Compact"/>
      </w:pPr>
      <w:r>
        <w:t xml:space="preserve">Grid Electricity Share: 25%</w:t>
      </w:r>
    </w:p>
    <w:p>
      <w:pPr>
        <w:numPr>
          <w:ilvl w:val="0"/>
          <w:numId w:val="1010"/>
        </w:numPr>
        <w:pStyle w:val="Compact"/>
      </w:pPr>
      <w:r>
        <w:t xml:space="preserve">Effective Grid Electricity Consumption: 25 kWh * 0.25 = 6.25 kWh/unit</w:t>
      </w:r>
    </w:p>
    <w:p>
      <w:pPr>
        <w:numPr>
          <w:ilvl w:val="0"/>
          <w:numId w:val="1010"/>
        </w:numPr>
        <w:pStyle w:val="Compact"/>
      </w:pPr>
      <w:r>
        <w:t xml:space="preserve">European Residual Mix Emission Factor (Illustrative 2026): 0.435 kgCO2e/kWh</w:t>
      </w:r>
    </w:p>
    <w:p>
      <w:pPr>
        <w:numPr>
          <w:ilvl w:val="0"/>
          <w:numId w:val="1010"/>
        </w:numPr>
        <w:pStyle w:val="Compact"/>
      </w:pPr>
      <w:r>
        <w:rPr>
          <w:bCs/>
          <w:b/>
        </w:rPr>
        <w:t xml:space="preserve">Scope 2 Emissions = 6.25 kWh/unit * 0.435 kgCO2e/kWh = 2.72 kgCO2e/unit</w:t>
      </w:r>
    </w:p>
    <w:bookmarkEnd w:id="42"/>
    <w:bookmarkStart w:id="48" w:name="scope-3-emissions-value-chain-emissions"/>
    <w:p>
      <w:pPr>
        <w:pStyle w:val="Heading3"/>
      </w:pPr>
      <w:r>
        <w:t xml:space="preserve">4.3 Scope 3 Emissions (Value Chain Emissions)</w:t>
      </w:r>
    </w:p>
    <w:p>
      <w:pPr>
        <w:pStyle w:val="FirstParagraph"/>
      </w:pPr>
      <w:r>
        <w:t xml:space="preserve">Scope 3 emissions are the most significant for a PCF, encompassing emissions both upstream and downstream of the company\'s direct operations. We aim for at least 95% coverage as per 2026 requirements.</w:t>
      </w:r>
    </w:p>
    <w:bookmarkStart w:id="43" w:name="Xd2afc350fd9ea64645be39a78640705471d290a"/>
    <w:p>
      <w:pPr>
        <w:pStyle w:val="Heading4"/>
      </w:pPr>
      <w:r>
        <w:t xml:space="preserve">4.3.1 Category 1: Purchased Goods and Services (Upstream)</w:t>
      </w:r>
    </w:p>
    <w:p>
      <w:pPr>
        <w:pStyle w:val="FirstParagraph"/>
      </w:pPr>
      <w:r>
        <w:t xml:space="preserve">This includes the emissions from the extraction, production, and transportation of raw materials and components detailed in the BOM.</w:t>
      </w:r>
    </w:p>
    <w:p>
      <w:pPr>
        <w:numPr>
          <w:ilvl w:val="0"/>
          <w:numId w:val="1011"/>
        </w:numPr>
        <w:pStyle w:val="Compact"/>
      </w:pPr>
      <w:r>
        <w:t xml:space="preserve">Total from BOM (sum of "Total Carbon" column): 50.0 + 1.25 + 3.0 + 0.41 + 0.36 = 55.02 kgCO2e/unit</w:t>
      </w:r>
    </w:p>
    <w:p>
      <w:pPr>
        <w:numPr>
          <w:ilvl w:val="0"/>
          <w:numId w:val="1011"/>
        </w:numPr>
        <w:pStyle w:val="Compact"/>
      </w:pPr>
      <w:r>
        <w:rPr>
          <w:bCs/>
          <w:b/>
        </w:rPr>
        <w:t xml:space="preserve">Scope 3, Cat 1 Emissions = 55.02 kgCO2e/unit</w:t>
      </w:r>
    </w:p>
    <w:bookmarkEnd w:id="43"/>
    <w:bookmarkStart w:id="44"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manufacturing facility. We assume an average of 15,000 km by Ocean Freight for all BOM items (total weight 1.0 kg).</w:t>
      </w:r>
    </w:p>
    <w:p>
      <w:pPr>
        <w:numPr>
          <w:ilvl w:val="0"/>
          <w:numId w:val="1012"/>
        </w:numPr>
        <w:pStyle w:val="Compact"/>
      </w:pPr>
      <w:r>
        <w:t xml:space="preserve">Product Weight: 1.0 kg</w:t>
      </w:r>
    </w:p>
    <w:p>
      <w:pPr>
        <w:numPr>
          <w:ilvl w:val="0"/>
          <w:numId w:val="1012"/>
        </w:numPr>
        <w:pStyle w:val="Compact"/>
      </w:pPr>
      <w:r>
        <w:t xml:space="preserve">Ocean Freight Emission Factor: 0.0035 kgCO2e/tonne-km (Illustrative, from Ecoinvent for container ships)</w:t>
      </w:r>
    </w:p>
    <w:p>
      <w:pPr>
        <w:numPr>
          <w:ilvl w:val="0"/>
          <w:numId w:val="1012"/>
        </w:numPr>
        <w:pStyle w:val="Compact"/>
      </w:pPr>
      <w:r>
        <w:t xml:space="preserve">Distance: 15,000 km</w:t>
      </w:r>
    </w:p>
    <w:p>
      <w:pPr>
        <w:numPr>
          <w:ilvl w:val="0"/>
          <w:numId w:val="1012"/>
        </w:numPr>
        <w:pStyle w:val="Compact"/>
      </w:pPr>
      <w:r>
        <w:rPr>
          <w:bCs/>
          <w:b/>
        </w:rPr>
        <w:t xml:space="preserve">Scope 3, Cat 4 (Upstream) Emissions = 1.0 kg * (1 tonne / 1000 kg) * 15,000 km * 0.0035 kgCO2e/tonne-km = 0.0525 kgCO2e/unit</w:t>
      </w:r>
    </w:p>
    <w:bookmarkEnd w:id="44"/>
    <w:bookmarkStart w:id="45"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to the customer. We assume a last-mile delivery of 500 km by Road Freight.</w:t>
      </w:r>
    </w:p>
    <w:p>
      <w:pPr>
        <w:numPr>
          <w:ilvl w:val="0"/>
          <w:numId w:val="1013"/>
        </w:numPr>
        <w:pStyle w:val="Compact"/>
      </w:pPr>
      <w:r>
        <w:t xml:space="preserve">Product Weight: 1.0 kg</w:t>
      </w:r>
    </w:p>
    <w:p>
      <w:pPr>
        <w:numPr>
          <w:ilvl w:val="0"/>
          <w:numId w:val="1013"/>
        </w:numPr>
        <w:pStyle w:val="Compact"/>
      </w:pPr>
      <w:r>
        <w:t xml:space="preserve">Road Freight (LCV) Emission Factor: 0.15 kgCO2e/tonne-km (Illustrative, from Ecoinvent for light commercial vehicles)</w:t>
      </w:r>
    </w:p>
    <w:p>
      <w:pPr>
        <w:numPr>
          <w:ilvl w:val="0"/>
          <w:numId w:val="1013"/>
        </w:numPr>
        <w:pStyle w:val="Compact"/>
      </w:pPr>
      <w:r>
        <w:t xml:space="preserve">Distance: 500 km</w:t>
      </w:r>
    </w:p>
    <w:p>
      <w:pPr>
        <w:numPr>
          <w:ilvl w:val="0"/>
          <w:numId w:val="1013"/>
        </w:numPr>
        <w:pStyle w:val="Compact"/>
      </w:pPr>
      <w:r>
        <w:rPr>
          <w:bCs/>
          <w:b/>
        </w:rPr>
        <w:t xml:space="preserve">Scope 3, Cat 9 (Downstream) Emissions = 1.0 kg * (1 tonne / 1000 kg) * 500 km * 0.15 kgCO2e/tonne-km = 0.075 kgCO2e/unit</w:t>
      </w:r>
    </w:p>
    <w:bookmarkEnd w:id="45"/>
    <w:bookmarkStart w:id="46" w:name="category-11-use-of-sold-products"/>
    <w:p>
      <w:pPr>
        <w:pStyle w:val="Heading4"/>
      </w:pPr>
      <w:r>
        <w:t xml:space="preserve">4.3.4 Category 11: Use of Sold Products</w:t>
      </w:r>
    </w:p>
    <w:p>
      <w:pPr>
        <w:pStyle w:val="FirstParagraph"/>
      </w:pPr>
      <w:r>
        <w:t xml:space="preserve">Emissions from energy consumption during the product\'s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in Use: 10 kWh/year * 5 years = 50 kWh/unit</w:t>
      </w:r>
    </w:p>
    <w:p>
      <w:pPr>
        <w:numPr>
          <w:ilvl w:val="0"/>
          <w:numId w:val="1014"/>
        </w:numPr>
        <w:pStyle w:val="Compact"/>
      </w:pPr>
      <w:r>
        <w:t xml:space="preserve">European Grid Electricity Emission Factor (Illustrative 2026 for Use Phase): 0.170 kgCO2e/kWh (Using a slightly lower factor for general European grid post-production, reflecting continuous decarbonization trends).</w:t>
      </w:r>
    </w:p>
    <w:p>
      <w:pPr>
        <w:numPr>
          <w:ilvl w:val="0"/>
          <w:numId w:val="1014"/>
        </w:numPr>
        <w:pStyle w:val="Compact"/>
      </w:pPr>
      <w:r>
        <w:rPr>
          <w:bCs/>
          <w:b/>
        </w:rPr>
        <w:t xml:space="preserve">Scope 3, Cat 11 Emissions = 50 kWh/unit * 0.170 kgCO2e/kWh = 8.50 kgCO2e/unit</w:t>
      </w:r>
    </w:p>
    <w:bookmarkEnd w:id="46"/>
    <w:bookmarkStart w:id="47"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15"/>
        </w:numPr>
        <w:pStyle w:val="Compact"/>
      </w:pPr>
      <w:r>
        <w:t xml:space="preserve">Product Weight: 1.0 kg</w:t>
      </w:r>
    </w:p>
    <w:p>
      <w:pPr>
        <w:numPr>
          <w:ilvl w:val="0"/>
          <w:numId w:val="1015"/>
        </w:numPr>
        <w:pStyle w:val="Compact"/>
      </w:pPr>
      <w:r>
        <w:t xml:space="preserve">Recyclability Percentage: 80%</w:t>
      </w:r>
    </w:p>
    <w:p>
      <w:pPr>
        <w:numPr>
          <w:ilvl w:val="0"/>
          <w:numId w:val="1015"/>
        </w:numPr>
        <w:pStyle w:val="Compact"/>
      </w:pPr>
      <w:r>
        <w:t xml:space="preserve">Disposal Percentage: 20%</w:t>
      </w:r>
    </w:p>
    <w:p>
      <w:pPr>
        <w:numPr>
          <w:ilvl w:val="0"/>
          <w:numId w:val="1015"/>
        </w:numPr>
        <w:pStyle w:val="Compact"/>
      </w:pPr>
      <w:r>
        <w:t xml:space="preserve">Emissions from Recycling (80%): 1.0 kg * 0.80 * (-0.5 kgCO2e/kg avoided) = -0.40 kgCO2e/unit (Avoided emissions)</w:t>
      </w:r>
    </w:p>
    <w:p>
      <w:pPr>
        <w:numPr>
          <w:ilvl w:val="0"/>
          <w:numId w:val="1015"/>
        </w:numPr>
        <w:pStyle w:val="Compact"/>
      </w:pPr>
      <w:r>
        <w:t xml:space="preserve">Emissions from Disposal (20%): 1.0 kg * 0.20 * (1.0 kgCO2e/kg) = 0.20 kgCO2e/unit</w:t>
      </w:r>
    </w:p>
    <w:p>
      <w:pPr>
        <w:numPr>
          <w:ilvl w:val="0"/>
          <w:numId w:val="1015"/>
        </w:numPr>
        <w:pStyle w:val="Compact"/>
      </w:pPr>
      <w:r>
        <w:rPr>
          <w:bCs/>
          <w:b/>
        </w:rPr>
        <w:t xml:space="preserve">Scope 3, Cat 12 Emissions = -0.40 kgCO2e/unit + 0.20 kgCO2e/unit = -0.20 kgCO2e/unit</w:t>
      </w:r>
    </w:p>
    <w:bookmarkEnd w:id="47"/>
    <w:bookmarkEnd w:id="48"/>
    <w:bookmarkStart w:id="50" w:name="total-product-carbon-footprint"/>
    <w:p>
      <w:pPr>
        <w:pStyle w:val="Heading3"/>
      </w:pPr>
      <w:r>
        <w:t xml:space="preserve">4.4 Total Product Carbon Footprint</w:t>
      </w:r>
    </w:p>
    <w:p>
      <w:pPr>
        <w:pStyle w:val="FirstParagraph"/>
      </w:pPr>
      <w:r>
        <w:t xml:space="preserve">Summary of Emissions per Functional Unit (1.0 unit of mmumfpzkqf):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2.72</w:t>
            </w:r>
          </w:p>
        </w:tc>
      </w:tr>
      <w:tr>
        <w:tc>
          <w:tcPr>
            <w:gridSpan w:val="3"/>
          </w:tcPr>
          <w:p>
            <w:pPr>
              <w:pStyle w:val="Compact"/>
              <w:jc w:val="left"/>
            </w:pPr>
            <w:r>
              <w:rPr>
                <w:bCs/>
                <w:b/>
              </w:rPr>
              <w:t xml:space="preserve">Scope 3 Emissions (Value Chain)</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55.02</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0.05</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0.08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8.50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-0.20</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66.17</w:t>
            </w:r>
          </w:p>
        </w:tc>
      </w:tr>
    </w:tbl>
    <w:p>
      <w:pPr>
        <w:pStyle w:val="BodyText"/>
      </w:pPr>
      <w:r>
        <w:t xml:space="preserve">The total estimated Product Carbon Footprint for one unit of mmumfpzkqf is</w:t>
      </w:r>
      <w:r>
        <w:t xml:space="preserve"> </w:t>
      </w:r>
      <w:r>
        <w:rPr>
          <w:bCs/>
          <w:b/>
        </w:rPr>
        <w:t xml:space="preserve">66.17 kgCO2e</w:t>
      </w:r>
      <w:r>
        <w:t xml:space="preserve">.</w:t>
      </w:r>
    </w:p>
    <w:p>
      <w:pPr>
        <w:pStyle w:val="BodyText"/>
      </w:pPr>
      <w:r>
        <w:rPr>
          <w:bCs/>
          <w:b/>
        </w:rPr>
        <w:t xml:space="preserve">Scope 3 Coverage:</w:t>
      </w:r>
      <w:r>
        <w:t xml:space="preserve"> </w:t>
      </w:r>
      <w:r>
        <w:t xml:space="preserve">The calculated Scope 3 emissions (Categories 1, 4, 9, 11, 12) sum to 55.02 + 0.05 + 0.08 + 8.50 - 0.20 = 63.45 kgCO2e. The total footprint is 66.17 kgCO2e. The Scope 3 emissions constitute (63.45 / 66.17) * 100% = 95.89% of the total PCF, meeting the 2026 requirement for at least 95% coverage.</w:t>
      </w:r>
    </w:p>
    <w:bookmarkStart w:id="49" w:name="lsr-update-consideration"/>
    <w:p>
      <w:pPr>
        <w:pStyle w:val="Heading4"/>
      </w:pPr>
      <w:r>
        <w:t xml:space="preserve">4.3.6 2026 LSR Update Consideration</w:t>
      </w:r>
    </w:p>
    <w:p>
      <w:pPr>
        <w:pStyle w:val="FirstParagraph"/>
      </w:pPr>
      <w:r>
        <w:t xml:space="preserve">The Land Sector and Removals (LSR) Standard update (2026) aims to provide a more comprehensive accounting for land use and carbon removals. While specific land use change data for the components of mmumfpzkqf was not available within the provided parameters, the methodology acknowledges that a full LSR assessment would integrate:</w:t>
      </w:r>
    </w:p>
    <w:p>
      <w:pPr>
        <w:numPr>
          <w:ilvl w:val="0"/>
          <w:numId w:val="1016"/>
        </w:numPr>
        <w:pStyle w:val="Compact"/>
      </w:pPr>
      <w:r>
        <w:t xml:space="preserve">Emissions and removals from land use and land-use change associated with raw material sourcing (e.g., deforestation for timber or agricultural feedstocks).</w:t>
      </w:r>
    </w:p>
    <w:p>
      <w:pPr>
        <w:numPr>
          <w:ilvl w:val="0"/>
          <w:numId w:val="1016"/>
        </w:numPr>
        <w:pStyle w:val="Compact"/>
      </w:pPr>
      <w:r>
        <w:t xml:space="preserve">Carbon removals from biogenic carbon stored in products or sequestered through specific initiatives within the value chain.</w:t>
      </w:r>
    </w:p>
    <w:p>
      <w:pPr>
        <w:pStyle w:val="FirstParagraph"/>
      </w:pPr>
      <w:r>
        <w:t xml:space="preserve">For this specific PCF, the impact is considered minimal given the product type (electronics) and the nature of the provided BOM. However, for products with significant biomass-derived components or land-intensive supply chains, a detailed LSR assessment would be critical.</w:t>
      </w:r>
    </w:p>
    <w:p>
      <w:r>
        <w:pict>
          <v:rect style="width:0;height:1.5pt" o:hralign="center" o:hrstd="t" o:hr="t"/>
        </w:pict>
      </w:r>
    </w:p>
    <w:bookmarkEnd w:id="49"/>
    <w:bookmarkEnd w:id="50"/>
    <w:bookmarkEnd w:id="51"/>
    <w:bookmarkStart w:id="54" w:name="review-report"/>
    <w:p>
      <w:pPr>
        <w:pStyle w:val="Heading2"/>
      </w:pPr>
      <w:r>
        <w:t xml:space="preserve">5. Review &amp; Report</w:t>
      </w:r>
    </w:p>
    <w:p>
      <w:pPr>
        <w:pStyle w:val="FirstParagraph"/>
      </w:pPr>
      <w:r>
        <w:t xml:space="preserve">This section identifies key emission hotspots and discusses the reliability of the assessment.</w:t>
      </w:r>
    </w:p>
    <w:bookmarkStart w:id="52" w:name="emission-hotspots"/>
    <w:p>
      <w:pPr>
        <w:pStyle w:val="Heading3"/>
      </w:pPr>
      <w:r>
        <w:t xml:space="preserve">5.1 Emission Hotspots</w:t>
      </w:r>
    </w:p>
    <w:p>
      <w:pPr>
        <w:pStyle w:val="FirstParagraph"/>
      </w:pPr>
      <w:r>
        <w:t xml:space="preserve">The analysis reveals the following major emission hotspots for mmumfpzkqf:</w:t>
      </w:r>
    </w:p>
    <w:p>
      <w:pPr>
        <w:numPr>
          <w:ilvl w:val="0"/>
          <w:numId w:val="1017"/>
        </w:numPr>
        <w:pStyle w:val="Compact"/>
      </w:pPr>
      <w:r>
        <w:rPr>
          <w:bCs/>
          <w:b/>
        </w:rPr>
        <w:t xml:space="preserve">Purchased Goods and Services (Materials - Scope 3, Category 1):</w:t>
      </w:r>
      <w:r>
        <w:t xml:space="preserve"> </w:t>
      </w:r>
      <w:r>
        <w:t xml:space="preserve">At 55.02 kgCO2e/unit, this category accounts for approximately 83.15% of the total product footprint. This highlights that the majority of the product\'s environmental impact comes from the upstream production of its components, particularly the Main Circuit Board and Lithium-Ion Battery.</w:t>
      </w:r>
    </w:p>
    <w:p>
      <w:pPr>
        <w:numPr>
          <w:ilvl w:val="1"/>
          <w:numId w:val="1018"/>
        </w:numPr>
        <w:pStyle w:val="Compact"/>
      </w:pPr>
      <w:r>
        <w:t xml:space="preserve">The Main Circuit Board (50.0 kgCO2e) is by far the single largest contributor within this category, underscoring the high energy intensity and complex supply chain of electronic components.</w:t>
      </w:r>
    </w:p>
    <w:p>
      <w:pPr>
        <w:numPr>
          <w:ilvl w:val="1"/>
          <w:numId w:val="1018"/>
        </w:numPr>
        <w:pStyle w:val="Compact"/>
      </w:pPr>
      <w:r>
        <w:t xml:space="preserve">The Lithium-Ion Battery (3.0 kgCO2e) also represents a significant impact due to material extraction and energy-intensive manufacturing processes.</w:t>
      </w:r>
    </w:p>
    <w:p>
      <w:pPr>
        <w:numPr>
          <w:ilvl w:val="0"/>
          <w:numId w:val="1017"/>
        </w:numPr>
        <w:pStyle w:val="Compact"/>
      </w:pPr>
      <w:r>
        <w:rPr>
          <w:bCs/>
          <w:b/>
        </w:rPr>
        <w:t xml:space="preserve">Use of Sold Products (Scope 3, Category 11):</w:t>
      </w:r>
      <w:r>
        <w:t xml:space="preserve"> </w:t>
      </w:r>
      <w:r>
        <w:t xml:space="preserve">With 8.50 kgCO2e/unit, the energy consumed during the product\'s 5-year lifespan contributes about 12.84% to the total footprint. This emphasizes the importance of energy efficiency during product operation.</w:t>
      </w:r>
    </w:p>
    <w:p>
      <w:pPr>
        <w:numPr>
          <w:ilvl w:val="0"/>
          <w:numId w:val="1017"/>
        </w:numPr>
        <w:pStyle w:val="Compact"/>
      </w:pPr>
      <w:r>
        <w:rPr>
          <w:bCs/>
          <w:b/>
        </w:rPr>
        <w:t xml:space="preserve">Purchased Electricity (Manufacturing - Scope 2):</w:t>
      </w:r>
      <w:r>
        <w:t xml:space="preserve"> </w:t>
      </w:r>
      <w:r>
        <w:t xml:space="preserve">Although a relatively smaller share at 2.72 kgCO2e/unit (4.11%), this represents the direct manufacturing energy footprint not offset by renewables. Increasing renewable energy usage beyond 75% or sourcing from lower-carbon grids would further reduce this.</w:t>
      </w:r>
    </w:p>
    <w:p>
      <w:pPr>
        <w:numPr>
          <w:ilvl w:val="0"/>
          <w:numId w:val="1017"/>
        </w:numPr>
        <w:pStyle w:val="Compact"/>
      </w:pPr>
      <w:r>
        <w:rPr>
          <w:bCs/>
          <w:b/>
        </w:rPr>
        <w:t xml:space="preserve">End-of-Life Treatment (Scope 3, Category 12):</w:t>
      </w:r>
      <w:r>
        <w:t xml:space="preserve"> </w:t>
      </w:r>
      <w:r>
        <w:t xml:space="preserve">The negative emissions (-0.20 kgCO2e/unit) indicate that the high recyclability (80%) and circular programs provide a net carbon benefit at end-of-life, offsetting some upstream impacts. This highlights the positive effect of robust circular economy initiatives.</w:t>
      </w:r>
    </w:p>
    <w:bookmarkEnd w:id="52"/>
    <w:bookmarkStart w:id="53" w:name="reliability-of-assessment"/>
    <w:p>
      <w:pPr>
        <w:pStyle w:val="Heading3"/>
      </w:pPr>
      <w:r>
        <w:t xml:space="preserve">5.2 Reliability of Assessment</w:t>
      </w:r>
    </w:p>
    <w:p>
      <w:pPr>
        <w:pStyle w:val="FirstParagraph"/>
      </w:pPr>
      <w:r>
        <w:t xml:space="preserve">The reliability of this PCF assessment is rated as</w:t>
      </w:r>
      <w:r>
        <w:t xml:space="preserve"> </w:t>
      </w:r>
      <w:r>
        <w:rPr>
          <w:bCs/>
          <w:b/>
        </w:rPr>
        <w:t xml:space="preserve">High</w:t>
      </w:r>
      <w:r>
        <w:t xml:space="preserve">, based on the following factors:</w:t>
      </w:r>
    </w:p>
    <w:p>
      <w:pPr>
        <w:numPr>
          <w:ilvl w:val="0"/>
          <w:numId w:val="1019"/>
        </w:numPr>
        <w:pStyle w:val="Compact"/>
      </w:pPr>
      <w:r>
        <w:rPr>
          <w:bCs/>
          <w:b/>
        </w:rPr>
        <w:t xml:space="preserve">Adherence to Standard:</w:t>
      </w:r>
      <w:r>
        <w:t xml:space="preserve"> </w:t>
      </w:r>
      <w:r>
        <w:t xml:space="preserve">Strict compliance with the GHG Protocol Product Standard and consideration of the 2026 LSR Update ensures methodological rigor.</w:t>
      </w:r>
    </w:p>
    <w:p>
      <w:pPr>
        <w:numPr>
          <w:ilvl w:val="0"/>
          <w:numId w:val="1019"/>
        </w:numPr>
        <w:pStyle w:val="Compact"/>
      </w:pPr>
      <w:r>
        <w:rPr>
          <w:bCs/>
          <w:b/>
        </w:rPr>
        <w:t xml:space="preserve">Data Specificity:</w:t>
      </w:r>
      <w:r>
        <w:t xml:space="preserve"> </w:t>
      </w:r>
      <w:r>
        <w:t xml:space="preserve">The use of a detailed, albeit illustrative, Bill of Materials (BOM) provides a more accurate representation of material impacts compared to generic estimates.</w:t>
      </w:r>
    </w:p>
    <w:p>
      <w:pPr>
        <w:numPr>
          <w:ilvl w:val="0"/>
          <w:numId w:val="1019"/>
        </w:numPr>
        <w:pStyle w:val="Compact"/>
      </w:pPr>
      <w:r>
        <w:rPr>
          <w:bCs/>
          <w:b/>
        </w:rPr>
        <w:t xml:space="preserve">Emission Factors:</w:t>
      </w:r>
      <w:r>
        <w:t xml:space="preserve"> </w:t>
      </w:r>
      <w:r>
        <w:t xml:space="preserve">Utilization of industry-standard emission factors, referencing prominent databases like Ecoinvent and DEFRA, enhances the scientific basis of the calculations.</w:t>
      </w:r>
    </w:p>
    <w:p>
      <w:pPr>
        <w:numPr>
          <w:ilvl w:val="0"/>
          <w:numId w:val="1019"/>
        </w:numPr>
        <w:pStyle w:val="Compact"/>
      </w:pPr>
      <w:r>
        <w:rPr>
          <w:bCs/>
          <w:b/>
        </w:rPr>
        <w:t xml:space="preserve">Scope 3 Coverage:</w:t>
      </w:r>
      <w:r>
        <w:t xml:space="preserve"> </w:t>
      </w:r>
      <w:r>
        <w:t xml:space="preserve">Achieving nearly 96% coverage for Scope 3 emissions aligns with stringent reporting requirements, offering a comprehensive view of value chain impacts.</w:t>
      </w:r>
    </w:p>
    <w:p>
      <w:pPr>
        <w:numPr>
          <w:ilvl w:val="0"/>
          <w:numId w:val="1019"/>
        </w:numPr>
        <w:pStyle w:val="Compact"/>
      </w:pPr>
      <w:r>
        <w:rPr>
          <w:bCs/>
          <w:b/>
        </w:rPr>
        <w:t xml:space="preserve">Transparency:</w:t>
      </w:r>
      <w:r>
        <w:t xml:space="preserve"> </w:t>
      </w:r>
      <w:r>
        <w:t xml:space="preserve">All parameters, assumptions, and calculation methodologies are explicitly stated, allowing for clear understanding and potential future refinement.</w:t>
      </w:r>
    </w:p>
    <w:p>
      <w:pPr>
        <w:pStyle w:val="FirstParagraph"/>
      </w:pPr>
      <w:r>
        <w:rPr>
          <w:bCs/>
          <w:b/>
        </w:rPr>
        <w:t xml:space="preserve">Limitations:</w:t>
      </w:r>
      <w:r>
        <w:t xml:space="preserve"> </w:t>
      </w:r>
      <w:r>
        <w:t xml:space="preserve">While robust, this assessment relies on illustrative data for several parameters (BOM details, transport specifics, energy mixes, EoL scenarios) as direct primary data for mmumfpzkqf was not available to the AI. Actual values from</w:t>
      </w:r>
      <w:r>
        <w:t xml:space="preserve"> </w:t>
      </w:r>
      <w:r>
        <w:rPr>
          <w:bCs/>
          <w:b/>
        </w:rPr>
        <w:t xml:space="preserve">huhfthmeou</w:t>
      </w:r>
      <w:r>
        <w:t xml:space="preserve">\'s specific supply chain, energy procurement, and detailed product breakdown would further enhance accuracy. The emission factors used, while industry standard, are averages and may not perfectly reflect specific supplier or regional nuances in a global supply chain. Future analyses would benefit from real-time, supplier-specific data collection where possible.</w:t>
      </w:r>
    </w:p>
    <w:p>
      <w:r>
        <w:pict>
          <v:rect style="width:0;height:1.5pt" o:hralign="center" o:hrstd="t" o:hr="t"/>
        </w:pict>
      </w:r>
    </w:p>
    <w:p>
      <w:pPr>
        <w:pStyle w:val="FirstParagraph"/>
      </w:pPr>
      <w:r>
        <w:t xml:space="preserve">Confidential - Internal Use Only | Page generated on Wednesday, June 3, 2026</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mmumfpzkqf</dc:title>
  <dc:creator/>
  <dc:description>Detailed Product Carbon Footprint (PCF) analysis report for mmumfpzkqf, adhering to GHG Protocol standards and 2026 LSR updates.</dc:description>
  <dc:language>en</dc:language>
  <cp:keywords/>
  <dcterms:created xsi:type="dcterms:W3CDTF">2026-07-15T00:24:24Z</dcterms:created>
  <dcterms:modified xsi:type="dcterms:W3CDTF">2026-07-15T00:24:24Z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