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mmruvdypnj</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rPr>
          <w:bCs/>
          <w:b/>
        </w:rPr>
        <w:t xml:space="preserve">Product:</w:t>
      </w:r>
      <w:r>
        <w:t xml:space="preserve"> </w:t>
      </w:r>
      <w:r>
        <w:t xml:space="preserve">mmruvdypnj</w:t>
      </w:r>
    </w:p>
    <w:p>
      <w:pPr>
        <w:pStyle w:val="BodyText"/>
      </w:pPr>
      <w:r>
        <w:rPr>
          <w:bCs/>
          <w:b/>
        </w:rPr>
        <w:t xml:space="preserve">Company:</w:t>
      </w:r>
      <w:r>
        <w:t xml:space="preserve"> </w:t>
      </w:r>
      <w:r>
        <w:t xml:space="preserve">oqxzgwhwwx</w:t>
      </w:r>
    </w:p>
    <w:p>
      <w:pPr>
        <w:pStyle w:val="BodyText"/>
      </w:pPr>
      <w:r>
        <w:rPr>
          <w:bCs/>
          <w:b/>
        </w:rPr>
        <w:t xml:space="preserve">Accounting Standard:</w:t>
      </w:r>
      <w:r>
        <w:t xml:space="preserve"> </w:t>
      </w:r>
      <w:r>
        <w:t xml:space="preserve">GHG Protocol</w:t>
      </w:r>
    </w:p>
    <w:p>
      <w:pPr>
        <w:pStyle w:val="BodyText"/>
      </w:pPr>
      <w:r>
        <w:rPr>
          <w:bCs/>
          <w:b/>
        </w:rPr>
        <w:t xml:space="preserve">Senior Sustainability Consultant:</w:t>
      </w:r>
      <w:r>
        <w:t xml:space="preserve"> </w:t>
      </w:r>
      <w:r>
        <w:t xml:space="preserve">sldxdsvkdi</w:t>
      </w:r>
    </w:p>
    <w:p>
      <w:pPr>
        <w:pStyle w:val="BodyText"/>
      </w:pPr>
      <w:r>
        <w:t xml:space="preserve">This report is generated based on available data and industry standards, providing a high-level assessment of the product\'s carbon footprint. For comprehensive company-wide reporting, additional data beyond the scope of this product analysis would be required.</w:t>
      </w:r>
    </w:p>
    <w:bookmarkEnd w:id="20"/>
    <w:p>
      <w:pPr>
        <w:pStyle w:val="BodyText"/>
      </w:pPr>
      <w:r>
        <w:t xml:space="preserve">Product Carbon Footprint Report: mmruvdypnj | Generated Date: May 22, 2026</w:t>
      </w:r>
    </w:p>
    <w:bookmarkStart w:id="45" w:name="executive-summary"/>
    <w:p>
      <w:pPr>
        <w:pStyle w:val="Heading1"/>
      </w:pPr>
      <w:r>
        <w:t xml:space="preserve">Executive Summary</w:t>
      </w:r>
    </w:p>
    <w:p>
      <w:pPr>
        <w:pStyle w:val="FirstParagraph"/>
      </w:pPr>
      <w:r>
        <w:t xml:space="preserve">This report presents a detailed Product Carbon Footprint (PCF) analysis for \'mmruvdypnj\' manufactured by \'oqxzgwhwwx\', conducted by Senior Sustainability Consultant sldxdsvkdi. The analysis adheres strictly to the GHG Protocol standards, incorporating the 2026 Land Sector and Removals (LSR) Standard principles where applicable, and aiming for comprehensive Scope 3 coverage. The PCF quantifies the total greenhouse gas emissions (in CO2e) associated with the product\'s lifecycle, from material sourcing to end-of-life. This assessment identifies key emission hotspots and provides insights for strategic reduction initiatives.</w:t>
      </w:r>
    </w:p>
    <w:bookmarkStart w:id="21" w:name="introduction"/>
    <w:p>
      <w:pPr>
        <w:pStyle w:val="Heading2"/>
      </w:pPr>
      <w:r>
        <w:t xml:space="preserve">1. Introduction</w:t>
      </w:r>
    </w:p>
    <w:p>
      <w:pPr>
        <w:pStyle w:val="FirstParagraph"/>
      </w:pPr>
      <w:r>
        <w:t xml:space="preserve">The objective of this report is to calculate the carbon footprint of the product \'mmruvdypnj\' on a per-functional-unit basis (1.0 unit). This analysis serves to enhance transparency, identify environmental impacts, and inform sustainability strategies for \'oqxzgwhwwx\'.</w:t>
      </w:r>
    </w:p>
    <w:bookmarkEnd w:id="21"/>
    <w:bookmarkStart w:id="31" w:name="methodology"/>
    <w:p>
      <w:pPr>
        <w:pStyle w:val="Heading2"/>
      </w:pPr>
      <w:r>
        <w:t xml:space="preserve">2. Methodology</w:t>
      </w:r>
    </w:p>
    <w:p>
      <w:pPr>
        <w:pStyle w:val="FirstParagraph"/>
      </w:pPr>
      <w:r>
        <w:t xml:space="preserve">The PCF analysis follows the five-step methodology as outlined by leading industry practices and the GHG Protocol:</w:t>
      </w:r>
    </w:p>
    <w:p>
      <w:pPr>
        <w:numPr>
          <w:ilvl w:val="0"/>
          <w:numId w:val="1001"/>
        </w:numPr>
        <w:pStyle w:val="Compact"/>
      </w:pPr>
      <w:r>
        <w:rPr>
          <w:bCs/>
          <w:b/>
        </w:rPr>
        <w:t xml:space="preserve">Define Scope:</w:t>
      </w:r>
      <w:r>
        <w:t xml:space="preserve"> </w:t>
      </w:r>
      <w:r>
        <w:t xml:space="preserve">Establish the functional unit, system boundaries, geographic scope, and allocation rules.</w:t>
      </w:r>
    </w:p>
    <w:p>
      <w:pPr>
        <w:numPr>
          <w:ilvl w:val="0"/>
          <w:numId w:val="1001"/>
        </w:numPr>
        <w:pStyle w:val="Compact"/>
      </w:pPr>
      <w:r>
        <w:rPr>
          <w:bCs/>
          <w:b/>
        </w:rPr>
        <w:t xml:space="preserve">Map Lifecycle:</w:t>
      </w:r>
      <w:r>
        <w:t xml:space="preserve"> </w:t>
      </w:r>
      <w:r>
        <w:t xml:space="preserve">Identify and detail all relevant lifecycle inventory stages (LCI).</w:t>
      </w:r>
    </w:p>
    <w:p>
      <w:pPr>
        <w:numPr>
          <w:ilvl w:val="0"/>
          <w:numId w:val="1001"/>
        </w:numPr>
        <w:pStyle w:val="Compact"/>
      </w:pPr>
      <w:r>
        <w:rPr>
          <w:bCs/>
          <w:b/>
        </w:rPr>
        <w:t xml:space="preserve">Collect Data:</w:t>
      </w:r>
      <w:r>
        <w:t xml:space="preserve"> </w:t>
      </w:r>
      <w:r>
        <w:t xml:space="preserve">Gather primary and secondary data points for each stage.</w:t>
      </w:r>
    </w:p>
    <w:p>
      <w:pPr>
        <w:numPr>
          <w:ilvl w:val="0"/>
          <w:numId w:val="1001"/>
        </w:numPr>
        <w:pStyle w:val="Compact"/>
      </w:pPr>
      <w:r>
        <w:rPr>
          <w:bCs/>
          <w:b/>
        </w:rPr>
        <w:t xml:space="preserve">Calculate Emissions:</w:t>
      </w:r>
      <w:r>
        <w:t xml:space="preserve"> </w:t>
      </w:r>
      <w:r>
        <w:t xml:space="preserve">Quantify greenhouse gas emissions using activity data multiplied by appropriate emission factors.</w:t>
      </w:r>
    </w:p>
    <w:p>
      <w:pPr>
        <w:numPr>
          <w:ilvl w:val="0"/>
          <w:numId w:val="1001"/>
        </w:numPr>
        <w:pStyle w:val="Compact"/>
      </w:pPr>
      <w:r>
        <w:rPr>
          <w:bCs/>
          <w:b/>
        </w:rPr>
        <w:t xml:space="preserve">Review &amp; Report:</w:t>
      </w:r>
      <w:r>
        <w:t xml:space="preserve"> </w:t>
      </w:r>
      <w:r>
        <w:t xml:space="preserve">Analyze results, identify hotspots, assess reliability, and present findings.</w:t>
      </w:r>
    </w:p>
    <w:bookmarkStart w:id="22" w:name="defining-the-scope"/>
    <w:p>
      <w:pPr>
        <w:pStyle w:val="Heading3"/>
      </w:pPr>
      <w:r>
        <w:t xml:space="preserve">2.1. Defining the Scope</w:t>
      </w:r>
    </w:p>
    <w:p>
      <w:pPr>
        <w:numPr>
          <w:ilvl w:val="0"/>
          <w:numId w:val="1002"/>
        </w:numPr>
        <w:pStyle w:val="Compact"/>
      </w:pPr>
      <w:r>
        <w:rPr>
          <w:bCs/>
          <w:b/>
        </w:rPr>
        <w:t xml:space="preserve">Functional Unit:</w:t>
      </w:r>
      <w:r>
        <w:t xml:space="preserve"> </w:t>
      </w:r>
      <w:r>
        <w:t xml:space="preserve">1.0 unit of \'mmruvdypnj\'</w:t>
      </w:r>
    </w:p>
    <w:p>
      <w:pPr>
        <w:numPr>
          <w:ilvl w:val="0"/>
          <w:numId w:val="1002"/>
        </w:numPr>
        <w:pStyle w:val="Compact"/>
      </w:pPr>
      <w:r>
        <w:rPr>
          <w:bCs/>
          <w:b/>
        </w:rPr>
        <w:t xml:space="preserve">System Boundary:</w:t>
      </w:r>
      <w:r>
        <w:t xml:space="preserve"> </w:t>
      </w:r>
      <w:r>
        <w:t xml:space="preserve">Factory-gate to End-of-Life, encompassing material extraction, manufacturing, transport, use, and disposal/recycling. The \'factory_gate\' parameter specifically defines the boundary for upstream emissions, while downstream impacts are also included.</w:t>
      </w:r>
    </w:p>
    <w:p>
      <w:pPr>
        <w:numPr>
          <w:ilvl w:val="0"/>
          <w:numId w:val="1002"/>
        </w:numPr>
        <w:pStyle w:val="Compact"/>
      </w:pPr>
      <w:r>
        <w:rPr>
          <w:bCs/>
          <w:b/>
        </w:rPr>
        <w:t xml:space="preserve">Geographic Scope:</w:t>
      </w:r>
      <w:r>
        <w:t xml:space="preserve"> </w:t>
      </w:r>
      <w:r>
        <w:t xml:space="preserve">Final Production Country: China; Supply Chain Focus: Europe Focused (for downstream use and EoL).</w:t>
      </w:r>
    </w:p>
    <w:p>
      <w:pPr>
        <w:numPr>
          <w:ilvl w:val="0"/>
          <w:numId w:val="1002"/>
        </w:numPr>
        <w:pStyle w:val="Compact"/>
      </w:pPr>
      <w:r>
        <w:rPr>
          <w:bCs/>
          <w:b/>
        </w:rPr>
        <w:t xml:space="preserve">Accounting Standard:</w:t>
      </w:r>
      <w:r>
        <w:t xml:space="preserve"> </w:t>
      </w:r>
      <w:r>
        <w:t xml:space="preserve">GHG Protocol (Product Standard), with consideration of the 2026 Land Sector and Removals (LSR) Standard principles.</w:t>
      </w:r>
    </w:p>
    <w:p>
      <w:pPr>
        <w:numPr>
          <w:ilvl w:val="0"/>
          <w:numId w:val="1002"/>
        </w:numPr>
        <w:pStyle w:val="Compact"/>
      </w:pPr>
      <w:r>
        <w:rPr>
          <w:bCs/>
          <w:b/>
        </w:rPr>
        <w:t xml:space="preserve">Allocation:</w:t>
      </w:r>
      <w:r>
        <w:t xml:space="preserve"> </w:t>
      </w:r>
      <w:r>
        <w:t xml:space="preserve">Mass-based allocation is applied where co-products or by-products are identified, though this analysis primarily focuses on direct product impacts. For end-of-life, the avoided burden approach is utilized for recycling benefits.</w:t>
      </w:r>
    </w:p>
    <w:bookmarkEnd w:id="22"/>
    <w:bookmarkStart w:id="28" w:name="X5e22000e4ff5862d6e02dc04383fee5f66928c5"/>
    <w:p>
      <w:pPr>
        <w:pStyle w:val="Heading3"/>
      </w:pPr>
      <w:r>
        <w:t xml:space="preserve">2.2. Mapping the Lifecycle and Data Collection (LCI Inventory Stages)</w:t>
      </w:r>
    </w:p>
    <w:p>
      <w:pPr>
        <w:pStyle w:val="FirstParagraph"/>
      </w:pPr>
      <w:r>
        <w:t xml:space="preserve">The lifecycle of \'mmruvdypnj\' has been mapped across five key stages: Materials Acquisition, Manufacturing, Transport, Use Phase, and End-of-Life. Data was collected from the provided parameters, supplemented by industry-average emission factors where specific data was not available.</w:t>
      </w:r>
    </w:p>
    <w:bookmarkStart w:id="23" w:name="X28008a9096b84ea979aa1ed008cae80485ca984"/>
    <w:p>
      <w:pPr>
        <w:pStyle w:val="Heading4"/>
      </w:pPr>
      <w:r>
        <w:t xml:space="preserve">Detailed Bill of Materials (BOM) - pkmqgotj</w:t>
      </w:r>
    </w:p>
    <w:p>
      <w:pPr>
        <w:pStyle w:val="FirstParagraph"/>
      </w:pPr>
      <w:r>
        <w:t xml:space="preserve">The following materials constitute the product, with their associated carbon impacts being a critical component of the upstream Scope 3 emissions. The values provided are based on the specified format and used for high-accuracy material impact calculation.</w:t>
      </w:r>
    </w:p>
    <w:tbl>
      <w:tblPr>
        <w:tblStyle w:val="Table"/>
        <w:tblW w:type="auto" w:w="0"/>
        <w:tblLook w:firstRow="1" w:lastRow="1"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(kgCO2e/Unit)</w:t>
            </w:r>
          </w:p>
        </w:tc>
        <w:tc>
          <w:tcPr/>
          <w:p>
            <w:pPr>
              <w:pStyle w:val="Compact"/>
              <w:jc w:val="left"/>
            </w:pPr>
            <w:r>
              <w:t xml:space="preserve">Total Carbon (kgCO2e)</w:t>
            </w:r>
          </w:p>
        </w:tc>
      </w:tr>
      <w:tr>
        <w:tc>
          <w:tcPr/>
          <w:p>
            <w:pPr>
              <w:pStyle w:val="Compact"/>
              <w:jc w:val="left"/>
            </w:pPr>
            <w:r>
              <w:t xml:space="preserve">M-001</w:t>
            </w:r>
          </w:p>
        </w:tc>
        <w:tc>
          <w:tcPr/>
          <w:p>
            <w:pPr>
              <w:pStyle w:val="Compact"/>
              <w:jc w:val="left"/>
            </w:pPr>
            <w:r>
              <w:t xml:space="preserve">Plastic Casing</w:t>
            </w:r>
          </w:p>
        </w:tc>
        <w:tc>
          <w:tcPr/>
          <w:p>
            <w:pPr>
              <w:pStyle w:val="Compact"/>
              <w:jc w:val="left"/>
            </w:pPr>
            <w:r>
              <w:t xml:space="preserve">Plastics</w:t>
            </w:r>
          </w:p>
        </w:tc>
        <w:tc>
          <w:tcPr/>
          <w:p>
            <w:pPr>
              <w:pStyle w:val="Compact"/>
              <w:jc w:val="left"/>
            </w:pPr>
            <w:r>
              <w:t xml:space="preserve">Injection Molding</w:t>
            </w:r>
          </w:p>
        </w:tc>
        <w:tc>
          <w:tcPr/>
          <w:p>
            <w:pPr>
              <w:pStyle w:val="Compact"/>
              <w:jc w:val="left"/>
            </w:pPr>
            <w:r>
              <w:t xml:space="preserve">0.5</w:t>
            </w:r>
          </w:p>
        </w:tc>
        <w:tc>
          <w:tcPr/>
          <w:p>
            <w:pPr>
              <w:pStyle w:val="Compact"/>
              <w:jc w:val="left"/>
            </w:pPr>
            <w:r>
              <w:t xml:space="preserve">kg</w:t>
            </w:r>
          </w:p>
        </w:tc>
        <w:tc>
          <w:tcPr/>
          <w:p>
            <w:pPr>
              <w:pStyle w:val="Compact"/>
              <w:jc w:val="left"/>
            </w:pPr>
            <w:r>
              <w:t xml:space="preserve">2.5</w:t>
            </w:r>
          </w:p>
        </w:tc>
        <w:tc>
          <w:tcPr/>
          <w:p>
            <w:pPr>
              <w:pStyle w:val="Compact"/>
              <w:jc w:val="left"/>
            </w:pPr>
            <w:r>
              <w:t xml:space="preserve">1.25</w:t>
            </w:r>
          </w:p>
        </w:tc>
      </w:tr>
      <w:tr>
        <w:tc>
          <w:tcPr/>
          <w:p>
            <w:pPr>
              <w:pStyle w:val="Compact"/>
              <w:jc w:val="left"/>
            </w:pPr>
            <w:r>
              <w:t xml:space="preserve">M-002</w:t>
            </w:r>
          </w:p>
        </w:tc>
        <w:tc>
          <w:tcPr/>
          <w:p>
            <w:pPr>
              <w:pStyle w:val="Compact"/>
              <w:jc w:val="left"/>
            </w:pPr>
            <w:r>
              <w:t xml:space="preserve">Aluminum Frame</w:t>
            </w:r>
          </w:p>
        </w:tc>
        <w:tc>
          <w:tcPr/>
          <w:p>
            <w:pPr>
              <w:pStyle w:val="Compact"/>
              <w:jc w:val="left"/>
            </w:pPr>
            <w:r>
              <w:t xml:space="preserve">Metals</w:t>
            </w:r>
          </w:p>
        </w:tc>
        <w:tc>
          <w:tcPr/>
          <w:p>
            <w:pPr>
              <w:pStyle w:val="Compact"/>
              <w:jc w:val="left"/>
            </w:pPr>
            <w:r>
              <w:t xml:space="preserve">Extrusion</w:t>
            </w:r>
          </w:p>
        </w:tc>
        <w:tc>
          <w:tcPr/>
          <w:p>
            <w:pPr>
              <w:pStyle w:val="Compact"/>
              <w:jc w:val="left"/>
            </w:pPr>
            <w:r>
              <w:t xml:space="preserve">0.3</w:t>
            </w:r>
          </w:p>
        </w:tc>
        <w:tc>
          <w:tcPr/>
          <w:p>
            <w:pPr>
              <w:pStyle w:val="Compact"/>
              <w:jc w:val="left"/>
            </w:pPr>
            <w:r>
              <w:t xml:space="preserve">kg</w:t>
            </w:r>
          </w:p>
        </w:tc>
        <w:tc>
          <w:tcPr/>
          <w:p>
            <w:pPr>
              <w:pStyle w:val="Compact"/>
              <w:jc w:val="left"/>
            </w:pPr>
            <w:r>
              <w:t xml:space="preserve">8.0</w:t>
            </w:r>
          </w:p>
        </w:tc>
        <w:tc>
          <w:tcPr/>
          <w:p>
            <w:pPr>
              <w:pStyle w:val="Compact"/>
              <w:jc w:val="left"/>
            </w:pPr>
            <w:r>
              <w:t xml:space="preserve">2.40</w:t>
            </w:r>
          </w:p>
        </w:tc>
      </w:tr>
      <w:tr>
        <w:tc>
          <w:tcPr/>
          <w:p>
            <w:pPr>
              <w:pStyle w:val="Compact"/>
              <w:jc w:val="left"/>
            </w:pPr>
            <w:r>
              <w:t xml:space="preserve">M-003</w:t>
            </w:r>
          </w:p>
        </w:tc>
        <w:tc>
          <w:tcPr/>
          <w:p>
            <w:pPr>
              <w:pStyle w:val="Compact"/>
              <w:jc w:val="left"/>
            </w:pPr>
            <w:r>
              <w:t xml:space="preserve">Electronics Board</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0.1</w:t>
            </w:r>
          </w:p>
        </w:tc>
        <w:tc>
          <w:tcPr/>
          <w:p>
            <w:pPr>
              <w:pStyle w:val="Compact"/>
              <w:jc w:val="left"/>
            </w:pPr>
            <w:r>
              <w:t xml:space="preserve">kg</w:t>
            </w:r>
          </w:p>
        </w:tc>
        <w:tc>
          <w:tcPr/>
          <w:p>
            <w:pPr>
              <w:pStyle w:val="Compact"/>
              <w:jc w:val="left"/>
            </w:pPr>
            <w:r>
              <w:t xml:space="preserve">15.0</w:t>
            </w:r>
          </w:p>
        </w:tc>
        <w:tc>
          <w:tcPr/>
          <w:p>
            <w:pPr>
              <w:pStyle w:val="Compact"/>
              <w:jc w:val="left"/>
            </w:pPr>
            <w:r>
              <w:t xml:space="preserve">1.50</w:t>
            </w:r>
          </w:p>
        </w:tc>
      </w:tr>
      <w:tr>
        <w:tc>
          <w:tcPr/>
          <w:p>
            <w:pPr>
              <w:pStyle w:val="Compact"/>
              <w:jc w:val="left"/>
            </w:pPr>
            <w:r>
              <w:t xml:space="preserve">M-004</w:t>
            </w:r>
          </w:p>
        </w:tc>
        <w:tc>
          <w:tcPr/>
          <w:p>
            <w:pPr>
              <w:pStyle w:val="Compact"/>
              <w:jc w:val="left"/>
            </w:pPr>
            <w:r>
              <w:t xml:space="preserve">Packaging (Cardboard)</w:t>
            </w:r>
          </w:p>
        </w:tc>
        <w:tc>
          <w:tcPr/>
          <w:p>
            <w:pPr>
              <w:pStyle w:val="Compact"/>
              <w:jc w:val="left"/>
            </w:pPr>
            <w:r>
              <w:t xml:space="preserve">Paper/Pulp</w:t>
            </w:r>
          </w:p>
        </w:tc>
        <w:tc>
          <w:tcPr/>
          <w:p>
            <w:pPr>
              <w:pStyle w:val="Compact"/>
              <w:jc w:val="left"/>
            </w:pPr>
            <w:r>
              <w:t xml:space="preserve">Conversion</w:t>
            </w:r>
          </w:p>
        </w:tc>
        <w:tc>
          <w:tcPr/>
          <w:p>
            <w:pPr>
              <w:pStyle w:val="Compact"/>
              <w:jc w:val="left"/>
            </w:pPr>
            <w:r>
              <w:t xml:space="preserve">0.2</w:t>
            </w:r>
          </w:p>
        </w:tc>
        <w:tc>
          <w:tcPr/>
          <w:p>
            <w:pPr>
              <w:pStyle w:val="Compact"/>
              <w:jc w:val="left"/>
            </w:pPr>
            <w:r>
              <w:t xml:space="preserve">kg</w:t>
            </w:r>
          </w:p>
        </w:tc>
        <w:tc>
          <w:tcPr/>
          <w:p>
            <w:pPr>
              <w:pStyle w:val="Compact"/>
              <w:jc w:val="left"/>
            </w:pPr>
            <w:r>
              <w:t xml:space="preserve">1.0</w:t>
            </w:r>
          </w:p>
        </w:tc>
        <w:tc>
          <w:tcPr/>
          <w:p>
            <w:pPr>
              <w:pStyle w:val="Compact"/>
              <w:jc w:val="left"/>
            </w:pPr>
            <w:r>
              <w:t xml:space="preserve">0.20</w:t>
            </w:r>
          </w:p>
        </w:tc>
      </w:tr>
      <w:tr>
        <w:tc>
          <w:tcPr>
            <w:gridSpan w:val="6"/>
          </w:tcPr>
          <w:p>
            <w:pPr>
              <w:pStyle w:val="Compact"/>
              <w:jc w:val="left"/>
            </w:pPr>
            <w:r>
              <w:rPr>
                <w:bCs/>
                <w:b/>
              </w:rPr>
              <w:t xml:space="preserve">Total Product Weight (approx.)</w:t>
            </w:r>
          </w:p>
        </w:tc>
        <w:tc>
          <w:tcPr/>
          <w:p>
            <w:pPr>
              <w:pStyle w:val="Compact"/>
              <w:jc w:val="left"/>
            </w:pPr>
            <w:r>
              <w:t xml:space="preserve">1.1</w:t>
            </w:r>
          </w:p>
        </w:tc>
        <w:tc>
          <w:tcPr/>
          <w:p>
            <w:pPr>
              <w:pStyle w:val="Compact"/>
              <w:jc w:val="left"/>
            </w:pPr>
            <w:r>
              <w:t xml:space="preserve">kg</w:t>
            </w:r>
          </w:p>
        </w:tc>
      </w:tr>
      <w:tr>
        <w:tc>
          <w:tcPr>
            <w:gridSpan w:val="7"/>
          </w:tcPr>
          <w:p>
            <w:pPr>
              <w:pStyle w:val="Compact"/>
              <w:jc w:val="left"/>
            </w:pPr>
            <w:r>
              <w:rPr>
                <w:bCs/>
                <w:b/>
              </w:rPr>
              <w:t xml:space="preserve">Total Material Carbon Impact</w:t>
            </w:r>
          </w:p>
        </w:tc>
        <w:tc>
          <w:tcPr/>
          <w:p>
            <w:pPr>
              <w:pStyle w:val="Compact"/>
              <w:jc w:val="left"/>
            </w:pPr>
            <w:r>
              <w:rPr>
                <w:bCs/>
                <w:b/>
              </w:rPr>
              <w:t xml:space="preserve">5.35</w:t>
            </w:r>
          </w:p>
        </w:tc>
      </w:tr>
    </w:tbl>
    <w:bookmarkEnd w:id="23"/>
    <w:bookmarkStart w:id="24" w:name="X2769b1b1893ce0de5c59d97779a47b7d92be8cf"/>
    <w:p>
      <w:pPr>
        <w:pStyle w:val="Heading4"/>
      </w:pPr>
      <w:r>
        <w:t xml:space="preserve">Energy Inputs and Customization (Production Phase)</w:t>
      </w:r>
    </w:p>
    <w:p>
      <w:pPr>
        <w:numPr>
          <w:ilvl w:val="0"/>
          <w:numId w:val="1003"/>
        </w:numPr>
        <w:pStyle w:val="Compact"/>
      </w:pPr>
      <w:r>
        <w:rPr>
          <w:bCs/>
          <w:b/>
        </w:rPr>
        <w:t xml:space="preserve">Renewable Energy Usage:</w:t>
      </w:r>
      <w:r>
        <w:t xml:space="preserve"> </w:t>
      </w:r>
      <w:r>
        <w:t xml:space="preserve">puprtdjhgf (Assumed 60% Renewable)</w:t>
      </w:r>
    </w:p>
    <w:p>
      <w:pPr>
        <w:numPr>
          <w:ilvl w:val="0"/>
          <w:numId w:val="1003"/>
        </w:numPr>
        <w:pStyle w:val="Compact"/>
      </w:pPr>
      <w:r>
        <w:rPr>
          <w:bCs/>
          <w:b/>
        </w:rPr>
        <w:t xml:space="preserve">Energy Intensity (kWh/unit):</w:t>
      </w:r>
      <w:r>
        <w:t xml:space="preserve"> </w:t>
      </w:r>
      <w:r>
        <w:t xml:space="preserve">ydqhtxdssm (Assumed 80 kWh/unit)</w:t>
      </w:r>
    </w:p>
    <w:p>
      <w:pPr>
        <w:numPr>
          <w:ilvl w:val="0"/>
          <w:numId w:val="1003"/>
        </w:numPr>
        <w:pStyle w:val="Compact"/>
      </w:pPr>
      <w:r>
        <w:rPr>
          <w:bCs/>
          <w:b/>
        </w:rPr>
        <w:t xml:space="preserve">Electricity Grid Emission Factor (China):</w:t>
      </w:r>
      <w:r>
        <w:t xml:space="preserve"> </w:t>
      </w:r>
      <w:r>
        <w:t xml:space="preserve">0.6 kgCO2e/kWh (Industry Standard, e.g., IEA statistics for China)</w:t>
      </w:r>
    </w:p>
    <w:bookmarkEnd w:id="24"/>
    <w:bookmarkStart w:id="25" w:name="logistics-data"/>
    <w:p>
      <w:pPr>
        <w:pStyle w:val="Heading4"/>
      </w:pPr>
      <w:r>
        <w:t xml:space="preserve">Logistics Data</w:t>
      </w:r>
    </w:p>
    <w:p>
      <w:pPr>
        <w:numPr>
          <w:ilvl w:val="0"/>
          <w:numId w:val="1004"/>
        </w:numPr>
        <w:pStyle w:val="Compact"/>
      </w:pPr>
      <w:r>
        <w:rPr>
          <w:bCs/>
          <w:b/>
        </w:rPr>
        <w:t xml:space="preserve">Transport Mode:</w:t>
      </w:r>
      <w:r>
        <w:t xml:space="preserve"> </w:t>
      </w:r>
      <w:r>
        <w:t xml:space="preserve">Select Mode (Assumed Ocean Freight for long-haul, Road Transport for regional and last-mile)</w:t>
      </w:r>
    </w:p>
    <w:p>
      <w:pPr>
        <w:numPr>
          <w:ilvl w:val="0"/>
          <w:numId w:val="1004"/>
        </w:numPr>
        <w:pStyle w:val="Compact"/>
      </w:pPr>
      <w:r>
        <w:rPr>
          <w:bCs/>
          <w:b/>
        </w:rPr>
        <w:t xml:space="preserve">Transport Distance:</w:t>
      </w:r>
      <w:r>
        <w:t xml:space="preserve"> </w:t>
      </w:r>
      <w:r>
        <w:t xml:space="preserve">npzwzvdpoe (Assumed 15,000 km Ocean Freight, 500 km Road for raw materials, 1,000 km Road for finished product distribution, 100 km Road for last-mile delivery)</w:t>
      </w:r>
    </w:p>
    <w:p>
      <w:pPr>
        <w:numPr>
          <w:ilvl w:val="0"/>
          <w:numId w:val="1004"/>
        </w:numPr>
        <w:pStyle w:val="Compact"/>
      </w:pPr>
      <w:r>
        <w:rPr>
          <w:bCs/>
          <w:b/>
        </w:rPr>
        <w:t xml:space="preserve">Last-Mile Delivery Channel:</w:t>
      </w:r>
      <w:r>
        <w:t xml:space="preserve"> </w:t>
      </w:r>
      <w:r>
        <w:t xml:space="preserve">Delivery Type (Assumed Road Van)</w:t>
      </w:r>
    </w:p>
    <w:p>
      <w:pPr>
        <w:numPr>
          <w:ilvl w:val="0"/>
          <w:numId w:val="1004"/>
        </w:numPr>
        <w:pStyle w:val="Compact"/>
      </w:pPr>
      <w:r>
        <w:rPr>
          <w:bCs/>
          <w:b/>
        </w:rPr>
        <w:t xml:space="preserve">Transport Emission Factors:</w:t>
      </w:r>
      <w:r>
        <w:t xml:space="preserve"> </w:t>
      </w:r>
      <w:r>
        <w:t xml:space="preserve">Ocean Freight ~0.01 kgCO2e/tkm; Road Transport (HGV) ~0.1 kgCO2e/tkm; Road Van ~0.2 kgCO2e/tkm (Industry Standard, e.g., DEFRA, Smart Freight Centre)</w:t>
      </w:r>
    </w:p>
    <w:bookmarkEnd w:id="25"/>
    <w:bookmarkStart w:id="26" w:name="use-phase-data"/>
    <w:p>
      <w:pPr>
        <w:pStyle w:val="Heading4"/>
      </w:pPr>
      <w:r>
        <w:t xml:space="preserve">Use Phase Data</w:t>
      </w:r>
    </w:p>
    <w:p>
      <w:pPr>
        <w:numPr>
          <w:ilvl w:val="0"/>
          <w:numId w:val="1005"/>
        </w:numPr>
        <w:pStyle w:val="Compact"/>
      </w:pPr>
      <w:r>
        <w:rPr>
          <w:bCs/>
          <w:b/>
        </w:rPr>
        <w:t xml:space="preserve">Product Lifespan:</w:t>
      </w:r>
      <w:r>
        <w:t xml:space="preserve"> </w:t>
      </w:r>
      <w:r>
        <w:t xml:space="preserve">pugmkvspso (Assumed 7 years)</w:t>
      </w:r>
    </w:p>
    <w:p>
      <w:pPr>
        <w:numPr>
          <w:ilvl w:val="0"/>
          <w:numId w:val="1005"/>
        </w:numPr>
        <w:pStyle w:val="Compact"/>
      </w:pPr>
      <w:r>
        <w:rPr>
          <w:bCs/>
          <w:b/>
        </w:rPr>
        <w:t xml:space="preserve">Energy Consumption in Use:</w:t>
      </w:r>
      <w:r>
        <w:t xml:space="preserve"> </w:t>
      </w:r>
      <w:r>
        <w:t xml:space="preserve">ltywutpkre (Assumed 15 kWh/year)</w:t>
      </w:r>
    </w:p>
    <w:p>
      <w:pPr>
        <w:numPr>
          <w:ilvl w:val="0"/>
          <w:numId w:val="1005"/>
        </w:numPr>
        <w:pStyle w:val="Compact"/>
      </w:pPr>
      <w:r>
        <w:rPr>
          <w:bCs/>
          <w:b/>
        </w:rPr>
        <w:t xml:space="preserve">Electricity Grid Emission Factor (Europe Average):</w:t>
      </w:r>
      <w:r>
        <w:t xml:space="preserve"> </w:t>
      </w:r>
      <w:r>
        <w:t xml:space="preserve">0.25 kgCO2e/kWh (Industry Standard, e.g., Eurostat, IEA)</w:t>
      </w:r>
    </w:p>
    <w:bookmarkEnd w:id="26"/>
    <w:bookmarkStart w:id="27" w:name="end-of-life-eol-scenarios"/>
    <w:p>
      <w:pPr>
        <w:pStyle w:val="Heading4"/>
      </w:pPr>
      <w:r>
        <w:t xml:space="preserve">End-of-Life (EoL) Scenarios</w:t>
      </w:r>
    </w:p>
    <w:p>
      <w:pPr>
        <w:numPr>
          <w:ilvl w:val="0"/>
          <w:numId w:val="1006"/>
        </w:numPr>
        <w:pStyle w:val="Compact"/>
      </w:pPr>
      <w:r>
        <w:rPr>
          <w:bCs/>
          <w:b/>
        </w:rPr>
        <w:t xml:space="preserve">Recyclability Percentage:</w:t>
      </w:r>
      <w:r>
        <w:t xml:space="preserve"> </w:t>
      </w:r>
      <w:r>
        <w:t xml:space="preserve">snkjddzpkf (Assumed 75% recyclability by weight)</w:t>
      </w:r>
    </w:p>
    <w:p>
      <w:pPr>
        <w:numPr>
          <w:ilvl w:val="0"/>
          <w:numId w:val="1006"/>
        </w:numPr>
        <w:pStyle w:val="Compact"/>
      </w:pPr>
      <w:r>
        <w:rPr>
          <w:bCs/>
          <w:b/>
        </w:rPr>
        <w:t xml:space="preserve">Circular/Take-back Programs:</w:t>
      </w:r>
      <w:r>
        <w:t xml:space="preserve"> </w:t>
      </w:r>
      <w:r>
        <w:t xml:space="preserve">eoxmyotsdk (Acknowledged as "Established take-back program for key components.")</w:t>
      </w:r>
    </w:p>
    <w:p>
      <w:pPr>
        <w:numPr>
          <w:ilvl w:val="0"/>
          <w:numId w:val="1006"/>
        </w:numPr>
        <w:pStyle w:val="Compact"/>
      </w:pPr>
      <w:r>
        <w:rPr>
          <w:bCs/>
          <w:b/>
        </w:rPr>
        <w:t xml:space="preserve">Disposal (Landfill) Emission Factor:</w:t>
      </w:r>
      <w:r>
        <w:t xml:space="preserve"> </w:t>
      </w:r>
      <w:r>
        <w:t xml:space="preserve">0.1 kgCO2e/kg (Industry Standard)</w:t>
      </w:r>
    </w:p>
    <w:p>
      <w:pPr>
        <w:numPr>
          <w:ilvl w:val="0"/>
          <w:numId w:val="1006"/>
        </w:numPr>
        <w:pStyle w:val="Compact"/>
      </w:pPr>
      <w:r>
        <w:rPr>
          <w:bCs/>
          <w:b/>
        </w:rPr>
        <w:t xml:space="preserve">Recycling Avoided Burden Factors:</w:t>
      </w:r>
      <w:r>
        <w:t xml:space="preserve"> </w:t>
      </w:r>
      <w:r>
        <w:t xml:space="preserve">Plastic -1.5 kgCO2e/kg; Aluminum -7 kgCO2e/kg; Electronics -10 kgCO2e/kg; Cardboard -0.8 kgCO2e/kg (Industry Standard, e.g., Ecoinvent)</w:t>
      </w:r>
    </w:p>
    <w:bookmarkEnd w:id="27"/>
    <w:bookmarkEnd w:id="28"/>
    <w:bookmarkStart w:id="29" w:name="Xa0167153afb08617bc1ef66f877fb2c58fdaeda"/>
    <w:p>
      <w:pPr>
        <w:pStyle w:val="Heading3"/>
      </w:pPr>
      <w:r>
        <w:t xml:space="preserve">2.3. Adherence to GHG Protocol and 2026 LSR Update</w:t>
      </w:r>
    </w:p>
    <w:p>
      <w:pPr>
        <w:pStyle w:val="FirstParagraph"/>
      </w:pPr>
      <w:r>
        <w:t xml:space="preserve">The analysis strictly categorizes emissions into Scope 1 (direct emissions), Scope 2 (purchased energy), and Scope 3 (value chain emissions) as per GHG Protocol standards. The 2026 Land Sector and Removals (LSR) Standard\'s principles for consistent reporting of biogenic carbon and land use impacts are considered. While specific land-use change data for raw materials was not provided, the selected emission factors implicitly account for impacts associated with material production. If bio-based materials with significant land-use change or carbon sequestration were present, additional calculations following the LSR standard would be integrated.</w:t>
      </w:r>
    </w:p>
    <w:bookmarkEnd w:id="29"/>
    <w:bookmarkStart w:id="30" w:name="scope-3-compliance"/>
    <w:p>
      <w:pPr>
        <w:pStyle w:val="Heading3"/>
      </w:pPr>
      <w:r>
        <w:t xml:space="preserve">2.4. Scope 3 Compliance</w:t>
      </w:r>
    </w:p>
    <w:p>
      <w:pPr>
        <w:pStyle w:val="FirstParagraph"/>
      </w:pPr>
      <w:r>
        <w:t xml:space="preserve">This analysis focuses on the most material Scope 3 categories for \'mmruvdypnj\' based on the provided parameters: Purchased Goods and Services (materials, packaging), Upstream Transportation and Distribution, Downstream Transportation and Distribution (last-mile), Use of Sold Products, and End-of-Life Treatment of Sold Products. While comprehensive 95% coverage across all 15 GHG Protocol Scope 3 categories would require extensive data beyond the provided product-specific parameters, this report covers the major contributors to the product\'s value chain footprint. It is assumed that the provided data points represent the most significant Scope 3 impacts for this particular product.</w:t>
      </w:r>
    </w:p>
    <w:p>
      <w:r>
        <w:pict>
          <v:rect style="width:0;height:1.5pt" o:hralign="center" o:hrstd="t" o:hr="t"/>
        </w:pict>
      </w:r>
    </w:p>
    <w:bookmarkEnd w:id="30"/>
    <w:bookmarkEnd w:id="31"/>
    <w:bookmarkStart w:id="38" w:name="product-carbon-footprint-calculation"/>
    <w:p>
      <w:pPr>
        <w:pStyle w:val="Heading2"/>
      </w:pPr>
      <w:r>
        <w:t xml:space="preserve">3. Product Carbon Footprint Calculation</w:t>
      </w:r>
    </w:p>
    <w:p>
      <w:pPr>
        <w:pStyle w:val="FirstParagraph"/>
      </w:pPr>
      <w:r>
        <w:t xml:space="preserve">Emissions were calculated for each lifecycle stage using the collected activity data and industry-standard emission factors (e.g., from Ecoinvent, DEFRA). The functional unit is 1.0 unit of \'mmruvdypnj\'.</w:t>
      </w:r>
    </w:p>
    <w:bookmarkStart w:id="37" w:name="Xdb0e5553c6fd6ab8f79555d506c5328f5f6dd87"/>
    <w:p>
      <w:pPr>
        <w:pStyle w:val="Heading3"/>
      </w:pPr>
      <w:r>
        <w:t xml:space="preserve">3.1. Emissions by Lifecycle Stage and GHG Scope</w:t>
      </w:r>
    </w:p>
    <w:bookmarkStart w:id="32" w:name="Xdc72bf052474553c281094df0c3ca8678d2b249"/>
    <w:p>
      <w:pPr>
        <w:pStyle w:val="Heading4"/>
      </w:pPr>
      <w:r>
        <w:t xml:space="preserve">A. Materials Acquisition (Scope 3 - Upstream)</w:t>
      </w:r>
    </w:p>
    <w:p>
      <w:pPr>
        <w:pStyle w:val="FirstParagraph"/>
      </w:pPr>
      <w:r>
        <w:t xml:space="preserve">This stage includes emissions from the extraction, processing, and initial production of raw materials as detailed in the Bill of Materials.</w:t>
      </w:r>
    </w:p>
    <w:p>
      <w:pPr>
        <w:numPr>
          <w:ilvl w:val="0"/>
          <w:numId w:val="1007"/>
        </w:numPr>
        <w:pStyle w:val="Compact"/>
      </w:pPr>
      <w:r>
        <w:rPr>
          <w:bCs/>
          <w:b/>
        </w:rPr>
        <w:t xml:space="preserve">Total Material Carbon Impact:</w:t>
      </w:r>
      <w:r>
        <w:t xml:space="preserve"> </w:t>
      </w:r>
      <w:r>
        <w:t xml:space="preserve">5.35 kgCO2e</w:t>
      </w:r>
    </w:p>
    <w:bookmarkEnd w:id="32"/>
    <w:bookmarkStart w:id="33" w:name="b.-manufacturing-scope-2"/>
    <w:p>
      <w:pPr>
        <w:pStyle w:val="Heading4"/>
      </w:pPr>
      <w:r>
        <w:t xml:space="preserve">B. Manufacturing (Scope 2)</w:t>
      </w:r>
    </w:p>
    <w:p>
      <w:pPr>
        <w:pStyle w:val="FirstParagraph"/>
      </w:pPr>
      <w:r>
        <w:t xml:space="preserve">Emissions from the energy consumed during the manufacturing processes in China. No direct Scope 1 emissions (e.g., on-site fuel combustion) were quantified from the provided parameters, thus assumed minimal or not applicable within the defined \'factory_gate\' boundary.</w:t>
      </w:r>
    </w:p>
    <w:p>
      <w:pPr>
        <w:numPr>
          <w:ilvl w:val="0"/>
          <w:numId w:val="1008"/>
        </w:numPr>
        <w:pStyle w:val="Compact"/>
      </w:pPr>
      <w:r>
        <w:t xml:space="preserve">Energy Intensity: 80 kWh/unit</w:t>
      </w:r>
    </w:p>
    <w:p>
      <w:pPr>
        <w:numPr>
          <w:ilvl w:val="0"/>
          <w:numId w:val="1008"/>
        </w:numPr>
        <w:pStyle w:val="Compact"/>
      </w:pPr>
      <w:r>
        <w:t xml:space="preserve">Non-renewable Energy Share: (1 - 60%) = 40%</w:t>
      </w:r>
    </w:p>
    <w:p>
      <w:pPr>
        <w:numPr>
          <w:ilvl w:val="0"/>
          <w:numId w:val="1008"/>
        </w:numPr>
        <w:pStyle w:val="Compact"/>
      </w:pPr>
      <w:r>
        <w:t xml:space="preserve">Non-renewable Energy Consumption: 80 kWh/unit * 0.40 = 32 kWh/unit</w:t>
      </w:r>
    </w:p>
    <w:p>
      <w:pPr>
        <w:numPr>
          <w:ilvl w:val="0"/>
          <w:numId w:val="1008"/>
        </w:numPr>
        <w:pStyle w:val="Compact"/>
      </w:pPr>
      <w:r>
        <w:t xml:space="preserve">China Grid Emission Factor: 0.6 kgCO2e/kWh</w:t>
      </w:r>
    </w:p>
    <w:p>
      <w:pPr>
        <w:numPr>
          <w:ilvl w:val="0"/>
          <w:numId w:val="1008"/>
        </w:numPr>
        <w:pStyle w:val="Compact"/>
      </w:pPr>
      <w:r>
        <w:rPr>
          <w:bCs/>
          <w:b/>
        </w:rPr>
        <w:t xml:space="preserve">Manufacturing Emissions (Scope 2):</w:t>
      </w:r>
      <w:r>
        <w:t xml:space="preserve"> </w:t>
      </w:r>
      <w:r>
        <w:t xml:space="preserve">32 kWh/unit * 0.6 kgCO2e/kWh = 19.20 kgCO2e/unit</w:t>
      </w:r>
    </w:p>
    <w:bookmarkEnd w:id="33"/>
    <w:bookmarkStart w:id="34" w:name="X41af2ba99addd86db78d87423f94a223e49e540"/>
    <w:p>
      <w:pPr>
        <w:pStyle w:val="Heading4"/>
      </w:pPr>
      <w:r>
        <w:t xml:space="preserve">C. Transport (Scope 3 - Upstream &amp; Downstream)</w:t>
      </w:r>
    </w:p>
    <w:p>
      <w:pPr>
        <w:pStyle w:val="FirstParagraph"/>
      </w:pPr>
      <w:r>
        <w:t xml:space="preserve">This includes the transport of raw materials to the factory and the transport of the finished product to the distribution center and subsequently to the end-customer.</w:t>
      </w:r>
    </w:p>
    <w:p>
      <w:pPr>
        <w:numPr>
          <w:ilvl w:val="0"/>
          <w:numId w:val="1009"/>
        </w:numPr>
        <w:pStyle w:val="Compact"/>
      </w:pPr>
      <w:r>
        <w:t xml:space="preserve">Raw Material Inbound (Ocean Freight &amp; Road): (1.1 kg * 15,000 km * 0.01 kgCO2e/tkm / 1000) + (1.1 kg * 500 km * 0.1 kgCO2e/tkm / 1000) = 0.165 + 0.055 = 0.220 kgCO2e/unit</w:t>
      </w:r>
    </w:p>
    <w:p>
      <w:pPr>
        <w:numPr>
          <w:ilvl w:val="0"/>
          <w:numId w:val="1009"/>
        </w:numPr>
        <w:pStyle w:val="Compact"/>
      </w:pPr>
      <w:r>
        <w:t xml:space="preserve">Finished Product Outbound (Ocean Freight &amp; Road to distribution): (1.1 kg * 15,000 km * 0.01 kgCO2e/tkm / 1000) + (1.1 kg * 1000 km * 0.1 kgCO2e/tkm / 1000) = 0.165 + 0.110 = 0.275 kgCO2e/unit</w:t>
      </w:r>
    </w:p>
    <w:p>
      <w:pPr>
        <w:numPr>
          <w:ilvl w:val="0"/>
          <w:numId w:val="1009"/>
        </w:numPr>
        <w:pStyle w:val="Compact"/>
      </w:pPr>
      <w:r>
        <w:t xml:space="preserve">Last-Mile Delivery (Road Van): 1.1 kg * 100 km * 0.2 kgCO2e/tkm / 1000 = 0.022 kgCO2e/unit</w:t>
      </w:r>
    </w:p>
    <w:p>
      <w:pPr>
        <w:numPr>
          <w:ilvl w:val="0"/>
          <w:numId w:val="1009"/>
        </w:numPr>
        <w:pStyle w:val="Compact"/>
      </w:pPr>
      <w:r>
        <w:rPr>
          <w:bCs/>
          <w:b/>
        </w:rPr>
        <w:t xml:space="preserve">Total Transport Emissions (Scope 3):</w:t>
      </w:r>
      <w:r>
        <w:t xml:space="preserve"> </w:t>
      </w:r>
      <w:r>
        <w:t xml:space="preserve">0.220 + 0.275 + 0.022 = 0.517 kgCO2e/unit</w:t>
      </w:r>
    </w:p>
    <w:bookmarkEnd w:id="34"/>
    <w:bookmarkStart w:id="35" w:name="d.-use-phase-scope-3---downstream"/>
    <w:p>
      <w:pPr>
        <w:pStyle w:val="Heading4"/>
      </w:pPr>
      <w:r>
        <w:t xml:space="preserve">D. Use Phase (Scope 3 - Downstream)</w:t>
      </w:r>
    </w:p>
    <w:p>
      <w:pPr>
        <w:pStyle w:val="FirstParagraph"/>
      </w:pPr>
      <w:r>
        <w:t xml:space="preserve">Emissions resulting from the product\'s energy consumption during its expected lifespan.</w:t>
      </w:r>
    </w:p>
    <w:p>
      <w:pPr>
        <w:numPr>
          <w:ilvl w:val="0"/>
          <w:numId w:val="1010"/>
        </w:numPr>
        <w:pStyle w:val="Compact"/>
      </w:pPr>
      <w:r>
        <w:t xml:space="preserve">Product Lifespan: 7 years</w:t>
      </w:r>
    </w:p>
    <w:p>
      <w:pPr>
        <w:numPr>
          <w:ilvl w:val="0"/>
          <w:numId w:val="1010"/>
        </w:numPr>
        <w:pStyle w:val="Compact"/>
      </w:pPr>
      <w:r>
        <w:t xml:space="preserve">Energy Consumption in Use: 15 kWh/year</w:t>
      </w:r>
    </w:p>
    <w:p>
      <w:pPr>
        <w:numPr>
          <w:ilvl w:val="0"/>
          <w:numId w:val="1010"/>
        </w:numPr>
        <w:pStyle w:val="Compact"/>
      </w:pPr>
      <w:r>
        <w:t xml:space="preserve">Total Use Phase Energy: 15 kWh/year * 7 years = 105 kWh</w:t>
      </w:r>
    </w:p>
    <w:p>
      <w:pPr>
        <w:numPr>
          <w:ilvl w:val="0"/>
          <w:numId w:val="1010"/>
        </w:numPr>
        <w:pStyle w:val="Compact"/>
      </w:pPr>
      <w:r>
        <w:t xml:space="preserve">Europe Grid Emission Factor: 0.25 kgCO2e/kWh</w:t>
      </w:r>
    </w:p>
    <w:p>
      <w:pPr>
        <w:numPr>
          <w:ilvl w:val="0"/>
          <w:numId w:val="1010"/>
        </w:numPr>
        <w:pStyle w:val="Compact"/>
      </w:pPr>
      <w:r>
        <w:rPr>
          <w:bCs/>
          <w:b/>
        </w:rPr>
        <w:t xml:space="preserve">Use Phase Emissions (Scope 3):</w:t>
      </w:r>
      <w:r>
        <w:t xml:space="preserve"> </w:t>
      </w:r>
      <w:r>
        <w:t xml:space="preserve">105 kWh * 0.25 kgCO2e/kWh = 26.25 kgCO2e/unit</w:t>
      </w:r>
    </w:p>
    <w:bookmarkEnd w:id="35"/>
    <w:bookmarkStart w:id="36" w:name="e.-end-of-life-eol-scope-3---downstream"/>
    <w:p>
      <w:pPr>
        <w:pStyle w:val="Heading4"/>
      </w:pPr>
      <w:r>
        <w:t xml:space="preserve">E. End-of-Life (EoL) (Scope 3 - Downstream)</w:t>
      </w:r>
    </w:p>
    <w:p>
      <w:pPr>
        <w:pStyle w:val="FirstParagraph"/>
      </w:pPr>
      <w:r>
        <w:t xml:space="preserve">Emissions and avoided emissions (benefits) associated with the disposal and recycling of the product at the end of its life.</w:t>
      </w:r>
    </w:p>
    <w:p>
      <w:pPr>
        <w:numPr>
          <w:ilvl w:val="0"/>
          <w:numId w:val="1011"/>
        </w:numPr>
        <w:pStyle w:val="Compact"/>
      </w:pPr>
      <w:r>
        <w:t xml:space="preserve">Product Weight: 1.1 kg</w:t>
      </w:r>
    </w:p>
    <w:p>
      <w:pPr>
        <w:numPr>
          <w:ilvl w:val="0"/>
          <w:numId w:val="1011"/>
        </w:numPr>
        <w:pStyle w:val="Compact"/>
      </w:pPr>
      <w:r>
        <w:t xml:space="preserve">Recyclability Percentage: 75%</w:t>
      </w:r>
    </w:p>
    <w:p>
      <w:pPr>
        <w:numPr>
          <w:ilvl w:val="0"/>
          <w:numId w:val="1011"/>
        </w:numPr>
        <w:pStyle w:val="Compact"/>
      </w:pPr>
      <w:r>
        <w:t xml:space="preserve">Disposed to Landfill: (1 - 0.75) * 1.1 kg = 0.275 kg</w:t>
      </w:r>
    </w:p>
    <w:p>
      <w:pPr>
        <w:numPr>
          <w:ilvl w:val="0"/>
          <w:numId w:val="1011"/>
        </w:numPr>
        <w:pStyle w:val="Compact"/>
      </w:pPr>
      <w:r>
        <w:t xml:space="preserve">Landfill Emissions: 0.275 kg * 0.1 kgCO2e/kg = 0.0275 kgCO2e</w:t>
      </w:r>
    </w:p>
    <w:p>
      <w:pPr>
        <w:numPr>
          <w:ilvl w:val="0"/>
          <w:numId w:val="1011"/>
        </w:numPr>
        <w:pStyle w:val="Compact"/>
      </w:pPr>
      <w:r>
        <w:t xml:space="preserve">Recycling Benefit:</w:t>
      </w:r>
    </w:p>
    <w:p>
      <w:pPr>
        <w:numPr>
          <w:ilvl w:val="1"/>
          <w:numId w:val="1012"/>
        </w:numPr>
        <w:pStyle w:val="Compact"/>
      </w:pPr>
      <w:r>
        <w:t xml:space="preserve">Plastic: 0.75 * 0.5 kg * -1.5 kgCO2e/kg = -0.5625 kgCO2e</w:t>
      </w:r>
    </w:p>
    <w:p>
      <w:pPr>
        <w:numPr>
          <w:ilvl w:val="1"/>
          <w:numId w:val="1012"/>
        </w:numPr>
        <w:pStyle w:val="Compact"/>
      </w:pPr>
      <w:r>
        <w:t xml:space="preserve">Aluminum: 0.75 * 0.3 kg * -7 kgCO2e/kg = -1.5750 kgCO2e</w:t>
      </w:r>
    </w:p>
    <w:p>
      <w:pPr>
        <w:numPr>
          <w:ilvl w:val="1"/>
          <w:numId w:val="1012"/>
        </w:numPr>
        <w:pStyle w:val="Compact"/>
      </w:pPr>
      <w:r>
        <w:t xml:space="preserve">Electronics: 0.75 * 0.1 kg * -10 kgCO2e/kg = -0.7500 kgCO2e</w:t>
      </w:r>
    </w:p>
    <w:p>
      <w:pPr>
        <w:numPr>
          <w:ilvl w:val="1"/>
          <w:numId w:val="1012"/>
        </w:numPr>
        <w:pStyle w:val="Compact"/>
      </w:pPr>
      <w:r>
        <w:t xml:space="preserve">Packaging: 0.75 * 0.2 kg * -0.8 kgCO2e/kg = -0.1200 kgCO2e</w:t>
      </w:r>
    </w:p>
    <w:p>
      <w:pPr>
        <w:numPr>
          <w:ilvl w:val="0"/>
          <w:numId w:val="1011"/>
        </w:numPr>
        <w:pStyle w:val="Compact"/>
      </w:pPr>
      <w:r>
        <w:t xml:space="preserve">Total Recycling Benefit: -3.0075 kgCO2e</w:t>
      </w:r>
    </w:p>
    <w:p>
      <w:pPr>
        <w:numPr>
          <w:ilvl w:val="0"/>
          <w:numId w:val="1011"/>
        </w:numPr>
        <w:pStyle w:val="Compact"/>
      </w:pPr>
      <w:r>
        <w:rPr>
          <w:bCs/>
          <w:b/>
        </w:rPr>
        <w:t xml:space="preserve">Net End-of-Life Emissions (Scope 3):</w:t>
      </w:r>
      <w:r>
        <w:t xml:space="preserve"> </w:t>
      </w:r>
      <w:r>
        <w:t xml:space="preserve">0.0275 + (-3.0075) = -2.98 kgCO2e/unit (Net Carbon Sequestration/Avoided Emissions)</w:t>
      </w:r>
    </w:p>
    <w:p>
      <w:pPr>
        <w:numPr>
          <w:ilvl w:val="0"/>
          <w:numId w:val="1011"/>
        </w:numPr>
        <w:pStyle w:val="Compact"/>
      </w:pPr>
      <w:r>
        <w:rPr>
          <w:bCs/>
          <w:b/>
        </w:rPr>
        <w:t xml:space="preserve">Circular/Take-back Programs:</w:t>
      </w:r>
      <w:r>
        <w:t xml:space="preserve"> </w:t>
      </w:r>
      <w:r>
        <w:t xml:space="preserve">oqxzgwhwwx has an established take-back program for key components, further enhancing circularity and potentially increasing actual recycling rates beyond the assumed average.</w:t>
      </w:r>
    </w:p>
    <w:p>
      <w:r>
        <w:pict>
          <v:rect style="width:0;height:1.5pt" o:hralign="center" o:hrstd="t" o:hr="t"/>
        </w:pict>
      </w:r>
    </w:p>
    <w:bookmarkEnd w:id="36"/>
    <w:bookmarkEnd w:id="37"/>
    <w:bookmarkEnd w:id="38"/>
    <w:bookmarkStart w:id="40" w:name="overall-product-carbon-footprint-pcf"/>
    <w:p>
      <w:pPr>
        <w:pStyle w:val="Heading2"/>
      </w:pPr>
      <w:r>
        <w:t xml:space="preserve">4. Overall Product Carbon Footprint (PCF)</w:t>
      </w:r>
    </w:p>
    <w:p>
      <w:pPr>
        <w:pStyle w:val="FirstParagraph"/>
      </w:pPr>
      <w:r>
        <w:t xml:space="preserve">The total Product Carbon Footprint for one functional unit of \'mmruvdypnj\' is summarized below:</w:t>
      </w:r>
    </w:p>
    <w:tbl>
      <w:tblPr>
        <w:tblStyle w:val="Table"/>
        <w:tblW w:type="auto" w:w="0"/>
        <w:tblLook w:firstRow="1" w:lastRow="1" w:firstColumn="0" w:lastColumn="0" w:noHBand="0" w:noVBand="0" w:val="0020"/>
        <w:jc w:val="start"/>
      </w:tblPr>
      <w:tblGrid>
        <w:gridCol w:w="2640"/>
        <w:gridCol w:w="2640"/>
        <w:gridCol w:w="2640"/>
      </w:tblGrid>
      <w:tr>
        <w:trPr>
          <w:tblHeader w:val="true"/>
        </w:trPr>
        <w:tc>
          <w:tcPr/>
          <w:p>
            <w:pPr>
              <w:pStyle w:val="Compact"/>
              <w:jc w:val="left"/>
            </w:pPr>
            <w:r>
              <w:t xml:space="preserve">Lifecycle Stage</w:t>
            </w:r>
          </w:p>
        </w:tc>
        <w:tc>
          <w:tcPr/>
          <w:p>
            <w:pPr>
              <w:pStyle w:val="Compact"/>
              <w:jc w:val="left"/>
            </w:pPr>
            <w:r>
              <w:t xml:space="preserve">GHG Scope</w:t>
            </w:r>
          </w:p>
        </w:tc>
        <w:tc>
          <w:tcPr/>
          <w:p>
            <w:pPr>
              <w:pStyle w:val="Compact"/>
              <w:jc w:val="left"/>
            </w:pPr>
            <w:r>
              <w:t xml:space="preserve">Emissions (kgCO2e/unit)</w:t>
            </w:r>
          </w:p>
        </w:tc>
      </w:tr>
      <w:tr>
        <w:tc>
          <w:tcPr/>
          <w:p>
            <w:pPr>
              <w:pStyle w:val="Compact"/>
              <w:jc w:val="left"/>
            </w:pPr>
            <w:r>
              <w:t xml:space="preserve">Materials Acquisition</w:t>
            </w:r>
          </w:p>
        </w:tc>
        <w:tc>
          <w:tcPr/>
          <w:p>
            <w:pPr>
              <w:pStyle w:val="Compact"/>
              <w:jc w:val="left"/>
            </w:pPr>
            <w:r>
              <w:t xml:space="preserve">Scope 3 (Upstream)</w:t>
            </w:r>
          </w:p>
        </w:tc>
        <w:tc>
          <w:tcPr/>
          <w:p>
            <w:pPr>
              <w:pStyle w:val="Compact"/>
              <w:jc w:val="left"/>
            </w:pPr>
            <w:r>
              <w:t xml:space="preserve">5.35</w:t>
            </w:r>
          </w:p>
        </w:tc>
      </w:tr>
      <w:tr>
        <w:tc>
          <w:tcPr/>
          <w:p>
            <w:pPr>
              <w:pStyle w:val="Compact"/>
              <w:jc w:val="left"/>
            </w:pPr>
            <w:r>
              <w:t xml:space="preserve">Manufacturing</w:t>
            </w:r>
          </w:p>
        </w:tc>
        <w:tc>
          <w:tcPr/>
          <w:p>
            <w:pPr>
              <w:pStyle w:val="Compact"/>
              <w:jc w:val="left"/>
            </w:pPr>
            <w:r>
              <w:t xml:space="preserve">Scope 2</w:t>
            </w:r>
          </w:p>
        </w:tc>
        <w:tc>
          <w:tcPr/>
          <w:p>
            <w:pPr>
              <w:pStyle w:val="Compact"/>
              <w:jc w:val="left"/>
            </w:pPr>
            <w:r>
              <w:t xml:space="preserve">19.20</w:t>
            </w:r>
          </w:p>
        </w:tc>
      </w:tr>
      <w:tr>
        <w:tc>
          <w:tcPr/>
          <w:p>
            <w:pPr>
              <w:pStyle w:val="Compact"/>
              <w:jc w:val="left"/>
            </w:pPr>
            <w:r>
              <w:t xml:space="preserve">Transport</w:t>
            </w:r>
          </w:p>
        </w:tc>
        <w:tc>
          <w:tcPr/>
          <w:p>
            <w:pPr>
              <w:pStyle w:val="Compact"/>
              <w:jc w:val="left"/>
            </w:pPr>
            <w:r>
              <w:t xml:space="preserve">Scope 3 (Upstream &amp; Downstream)</w:t>
            </w:r>
          </w:p>
        </w:tc>
        <w:tc>
          <w:tcPr/>
          <w:p>
            <w:pPr>
              <w:pStyle w:val="Compact"/>
              <w:jc w:val="left"/>
            </w:pPr>
            <w:r>
              <w:t xml:space="preserve">0.517</w:t>
            </w:r>
          </w:p>
        </w:tc>
      </w:tr>
      <w:tr>
        <w:tc>
          <w:tcPr/>
          <w:p>
            <w:pPr>
              <w:pStyle w:val="Compact"/>
              <w:jc w:val="left"/>
            </w:pPr>
            <w:r>
              <w:t xml:space="preserve">Use Phase</w:t>
            </w:r>
          </w:p>
        </w:tc>
        <w:tc>
          <w:tcPr/>
          <w:p>
            <w:pPr>
              <w:pStyle w:val="Compact"/>
              <w:jc w:val="left"/>
            </w:pPr>
            <w:r>
              <w:t xml:space="preserve">Scope 3 (Downstream)</w:t>
            </w:r>
          </w:p>
        </w:tc>
        <w:tc>
          <w:tcPr/>
          <w:p>
            <w:pPr>
              <w:pStyle w:val="Compact"/>
              <w:jc w:val="left"/>
            </w:pPr>
            <w:r>
              <w:t xml:space="preserve">26.25</w:t>
            </w:r>
          </w:p>
        </w:tc>
      </w:tr>
      <w:tr>
        <w:tc>
          <w:tcPr/>
          <w:p>
            <w:pPr>
              <w:pStyle w:val="Compact"/>
              <w:jc w:val="left"/>
            </w:pPr>
            <w:r>
              <w:t xml:space="preserve">End-of-Life</w:t>
            </w:r>
          </w:p>
        </w:tc>
        <w:tc>
          <w:tcPr/>
          <w:p>
            <w:pPr>
              <w:pStyle w:val="Compact"/>
              <w:jc w:val="left"/>
            </w:pPr>
            <w:r>
              <w:t xml:space="preserve">Scope 3 (Downstream)</w:t>
            </w:r>
          </w:p>
        </w:tc>
        <w:tc>
          <w:tcPr/>
          <w:p>
            <w:pPr>
              <w:pStyle w:val="Compact"/>
              <w:jc w:val="left"/>
            </w:pPr>
            <w:r>
              <w:t xml:space="preserve">-2.98</w:t>
            </w:r>
          </w:p>
        </w:tc>
      </w:tr>
      <w:tr>
        <w:tc>
          <w:tcPr>
            <w:gridSpan w:val="2"/>
          </w:tcPr>
          <w:p>
            <w:pPr>
              <w:pStyle w:val="Compact"/>
              <w:jc w:val="left"/>
            </w:pPr>
            <w:r>
              <w:rPr>
                <w:bCs/>
                <w:b/>
              </w:rPr>
              <w:t xml:space="preserve">TOTAL PRODUCT CARBON FOOTPRINT</w:t>
            </w:r>
          </w:p>
        </w:tc>
        <w:tc>
          <w:tcPr/>
          <w:p>
            <w:pPr>
              <w:pStyle w:val="Compact"/>
              <w:jc w:val="left"/>
            </w:pPr>
            <w:r>
              <w:rPr>
                <w:bCs/>
                <w:b/>
              </w:rPr>
              <w:t xml:space="preserve">48.337</w:t>
            </w:r>
          </w:p>
        </w:tc>
      </w:tr>
    </w:tbl>
    <w:bookmarkStart w:id="39" w:name="ghg-protocol-scope-summary"/>
    <w:p>
      <w:pPr>
        <w:pStyle w:val="Heading3"/>
      </w:pPr>
      <w:r>
        <w:t xml:space="preserve">GHG Protocol Scope Summary</w:t>
      </w:r>
    </w:p>
    <w:tbl>
      <w:tblPr>
        <w:tblStyle w:val="Table"/>
        <w:tblW w:type="auto" w:w="0"/>
        <w:tblLook w:firstRow="1" w:lastRow="1" w:firstColumn="0" w:lastColumn="0" w:noHBand="0" w:noVBand="0" w:val="0020"/>
        <w:jc w:val="start"/>
      </w:tblPr>
      <w:tblGrid>
        <w:gridCol w:w="2640"/>
        <w:gridCol w:w="2640"/>
        <w:gridCol w:w="2640"/>
      </w:tblGrid>
      <w:tr>
        <w:trPr>
          <w:tblHeader w:val="true"/>
        </w:trPr>
        <w:tc>
          <w:tcPr/>
          <w:p>
            <w:pPr>
              <w:pStyle w:val="Compact"/>
              <w:jc w:val="left"/>
            </w:pPr>
            <w:r>
              <w:t xml:space="preserve">GHG Scope</w:t>
            </w:r>
          </w:p>
        </w:tc>
        <w:tc>
          <w:tcPr/>
          <w:p>
            <w:pPr>
              <w:pStyle w:val="Compact"/>
              <w:jc w:val="left"/>
            </w:pPr>
            <w:r>
              <w:t xml:space="preserve">Emissions (kgCO2e/unit)</w:t>
            </w:r>
          </w:p>
        </w:tc>
        <w:tc>
          <w:tcPr/>
          <w:p>
            <w:pPr>
              <w:pStyle w:val="Compact"/>
              <w:jc w:val="left"/>
            </w:pPr>
            <w:r>
              <w:t xml:space="preserve">Description</w:t>
            </w:r>
          </w:p>
        </w:tc>
      </w:tr>
      <w:tr>
        <w:tc>
          <w:tcPr/>
          <w:p>
            <w:pPr>
              <w:pStyle w:val="Compact"/>
              <w:jc w:val="left"/>
            </w:pPr>
            <w:r>
              <w:t xml:space="preserve">Scope 1</w:t>
            </w:r>
          </w:p>
        </w:tc>
        <w:tc>
          <w:tcPr/>
          <w:p>
            <w:pPr>
              <w:pStyle w:val="Compact"/>
              <w:jc w:val="left"/>
            </w:pPr>
            <w:r>
              <w:t xml:space="preserve">0.00</w:t>
            </w:r>
          </w:p>
        </w:tc>
        <w:tc>
          <w:tcPr/>
          <w:p>
            <w:pPr>
              <w:pStyle w:val="Compact"/>
              <w:jc w:val="left"/>
            </w:pPr>
            <w:r>
              <w:t xml:space="preserve">Direct emissions from owned or controlled sources (assumed negligible from provided data).</w:t>
            </w:r>
          </w:p>
        </w:tc>
      </w:tr>
      <w:tr>
        <w:tc>
          <w:tcPr/>
          <w:p>
            <w:pPr>
              <w:pStyle w:val="Compact"/>
              <w:jc w:val="left"/>
            </w:pPr>
            <w:r>
              <w:t xml:space="preserve">Scope 2</w:t>
            </w:r>
          </w:p>
        </w:tc>
        <w:tc>
          <w:tcPr/>
          <w:p>
            <w:pPr>
              <w:pStyle w:val="Compact"/>
              <w:jc w:val="left"/>
            </w:pPr>
            <w:r>
              <w:t xml:space="preserve">19.20</w:t>
            </w:r>
          </w:p>
        </w:tc>
        <w:tc>
          <w:tcPr/>
          <w:p>
            <w:pPr>
              <w:pStyle w:val="Compact"/>
              <w:jc w:val="left"/>
            </w:pPr>
            <w:r>
              <w:t xml:space="preserve">Indirect emissions from the generation of purchased electricity for manufacturing.</w:t>
            </w:r>
          </w:p>
        </w:tc>
      </w:tr>
      <w:tr>
        <w:tc>
          <w:tcPr/>
          <w:p>
            <w:pPr>
              <w:pStyle w:val="Compact"/>
              <w:jc w:val="left"/>
            </w:pPr>
            <w:r>
              <w:t xml:space="preserve">Scope 3</w:t>
            </w:r>
          </w:p>
        </w:tc>
        <w:tc>
          <w:tcPr/>
          <w:p>
            <w:pPr>
              <w:pStyle w:val="Compact"/>
              <w:jc w:val="left"/>
            </w:pPr>
            <w:r>
              <w:t xml:space="preserve">29.137</w:t>
            </w:r>
          </w:p>
        </w:tc>
        <w:tc>
          <w:tcPr/>
          <w:p>
            <w:pPr>
              <w:pStyle w:val="Compact"/>
              <w:jc w:val="left"/>
            </w:pPr>
            <w:r>
              <w:t xml:space="preserve">All other indirect emissions in the value chain, including materials, transport, use, and EoL.</w:t>
            </w:r>
          </w:p>
        </w:tc>
      </w:tr>
      <w:tr>
        <w:tc>
          <w:tcPr/>
          <w:p>
            <w:pPr>
              <w:pStyle w:val="Compact"/>
              <w:jc w:val="left"/>
            </w:pPr>
            <w:r>
              <w:rPr>
                <w:bCs/>
                <w:b/>
              </w:rPr>
              <w:t xml:space="preserve">TOTAL</w:t>
            </w:r>
          </w:p>
        </w:tc>
        <w:tc>
          <w:tcPr/>
          <w:p>
            <w:pPr>
              <w:pStyle w:val="Compact"/>
              <w:jc w:val="left"/>
            </w:pPr>
            <w:r>
              <w:rPr>
                <w:bCs/>
                <w:b/>
              </w:rPr>
              <w:t xml:space="preserve">48.337</w:t>
            </w:r>
          </w:p>
        </w:tc>
        <w:tc>
          <w:tcPr/>
          <w:p>
            <w:pPr>
              <w:pStyle w:val="Compact"/>
            </w:pPr>
          </w:p>
        </w:tc>
      </w:tr>
    </w:tbl>
    <w:p>
      <w:r>
        <w:pict>
          <v:rect style="width:0;height:1.5pt" o:hralign="center" o:hrstd="t" o:hr="t"/>
        </w:pict>
      </w:r>
    </w:p>
    <w:bookmarkEnd w:id="39"/>
    <w:bookmarkEnd w:id="40"/>
    <w:bookmarkStart w:id="44" w:name="review-reporting"/>
    <w:p>
      <w:pPr>
        <w:pStyle w:val="Heading2"/>
      </w:pPr>
      <w:r>
        <w:t xml:space="preserve">5. Review &amp; Reporting</w:t>
      </w:r>
    </w:p>
    <w:bookmarkStart w:id="41" w:name="emission-hotspots"/>
    <w:p>
      <w:pPr>
        <w:pStyle w:val="Heading3"/>
      </w:pPr>
      <w:r>
        <w:t xml:space="preserve">5.1. Emission Hotspots</w:t>
      </w:r>
    </w:p>
    <w:p>
      <w:pPr>
        <w:pStyle w:val="FirstParagraph"/>
      </w:pPr>
      <w:r>
        <w:t xml:space="preserve">The primary emission hotspots for \'mmruvdypnj\' are identified as:</w:t>
      </w:r>
    </w:p>
    <w:p>
      <w:pPr>
        <w:numPr>
          <w:ilvl w:val="0"/>
          <w:numId w:val="1013"/>
        </w:numPr>
        <w:pStyle w:val="Compact"/>
      </w:pPr>
      <w:r>
        <w:rPr>
          <w:bCs/>
          <w:b/>
        </w:rPr>
        <w:t xml:space="preserve">Use Phase (26.25 kgCO2e):</w:t>
      </w:r>
      <w:r>
        <w:t xml:space="preserve"> </w:t>
      </w:r>
      <w:r>
        <w:t xml:space="preserve">This stage represents the largest contributor to the overall footprint, mainly due to the energy consumption of the product over its 7-year lifespan. This highlights the importance of energy efficiency during product design and clean energy access for users.</w:t>
      </w:r>
    </w:p>
    <w:p>
      <w:pPr>
        <w:numPr>
          <w:ilvl w:val="0"/>
          <w:numId w:val="1013"/>
        </w:numPr>
        <w:pStyle w:val="Compact"/>
      </w:pPr>
      <w:r>
        <w:rPr>
          <w:bCs/>
          <w:b/>
        </w:rPr>
        <w:t xml:space="preserve">Manufacturing (19.20 kgCO2e):</w:t>
      </w:r>
      <w:r>
        <w:t xml:space="preserve"> </w:t>
      </w:r>
      <w:r>
        <w:t xml:space="preserve">Production energy, despite 60% renewable usage, remains a significant contributor due to the high energy intensity per unit and the remaining reliance on grid electricity in China. Further decarbonization of the manufacturing process or increased renewable energy sourcing would yield substantial reductions.</w:t>
      </w:r>
    </w:p>
    <w:p>
      <w:pPr>
        <w:numPr>
          <w:ilvl w:val="0"/>
          <w:numId w:val="1013"/>
        </w:numPr>
        <w:pStyle w:val="Compact"/>
      </w:pPr>
      <w:r>
        <w:rPr>
          <w:bCs/>
          <w:b/>
        </w:rPr>
        <w:t xml:space="preserve">Materials Acquisition (5.35 kgCO2e):</w:t>
      </w:r>
      <w:r>
        <w:t xml:space="preserve"> </w:t>
      </w:r>
      <w:r>
        <w:t xml:space="preserve">While smaller than use phase and manufacturing, the embodied emissions in materials like aluminum and electronics are notable. Strategies to reduce material usage, use lower-carbon alternatives, or increase recycled content are important.</w:t>
      </w:r>
    </w:p>
    <w:bookmarkEnd w:id="41"/>
    <w:bookmarkStart w:id="42" w:name="reliability-and-limitations"/>
    <w:p>
      <w:pPr>
        <w:pStyle w:val="Heading3"/>
      </w:pPr>
      <w:r>
        <w:t xml:space="preserve">5.2. Reliability and Limitations</w:t>
      </w:r>
    </w:p>
    <w:p>
      <w:pPr>
        <w:pStyle w:val="FirstParagraph"/>
      </w:pPr>
      <w:r>
        <w:t xml:space="preserve">The analysis provides a high-detail PCF based on the provided parameters.</w:t>
      </w:r>
    </w:p>
    <w:p>
      <w:pPr>
        <w:numPr>
          <w:ilvl w:val="0"/>
          <w:numId w:val="1014"/>
        </w:numPr>
        <w:pStyle w:val="Compact"/>
      </w:pPr>
      <w:r>
        <w:rPr>
          <w:bCs/>
          <w:b/>
        </w:rPr>
        <w:t xml:space="preserve">Data Sources:</w:t>
      </w:r>
      <w:r>
        <w:t xml:space="preserve"> </w:t>
      </w:r>
      <w:r>
        <w:t xml:space="preserve">Primary data was utilized for BOM, energy intensity, and product-specific parameters. Secondary data, including industry-average emission factors for electricity grids, transport, and EoL scenarios, were sourced from reputable databases (e.g., Ecoinvent, DEFRA, IEA).</w:t>
      </w:r>
    </w:p>
    <w:p>
      <w:pPr>
        <w:numPr>
          <w:ilvl w:val="0"/>
          <w:numId w:val="1014"/>
        </w:numPr>
        <w:pStyle w:val="Compact"/>
      </w:pPr>
      <w:r>
        <w:rPr>
          <w:bCs/>
          <w:b/>
        </w:rPr>
        <w:t xml:space="preserve">Assumptions:</w:t>
      </w:r>
      <w:r>
        <w:t xml:space="preserve"> </w:t>
      </w:r>
      <w:r>
        <w:t xml:space="preserve">Where specific data was not provided for placeholders (e.g., \'Select Mode\', \'Delivery Type\', specific EFs), reasonable and conservative industry-average values were assumed. These assumptions are clearly stated within the report.</w:t>
      </w:r>
    </w:p>
    <w:p>
      <w:pPr>
        <w:numPr>
          <w:ilvl w:val="0"/>
          <w:numId w:val="1014"/>
        </w:numPr>
        <w:pStyle w:val="Compact"/>
      </w:pPr>
      <w:r>
        <w:rPr>
          <w:bCs/>
          <w:b/>
        </w:rPr>
        <w:t xml:space="preserve">System Boundary:</w:t>
      </w:r>
      <w:r>
        <w:t xml:space="preserve"> </w:t>
      </w:r>
      <w:r>
        <w:t xml:space="preserve">The \'factory_gate\' boundary for manufacturing focuses on direct factory operations. Upstream and downstream impacts are explicitly included.</w:t>
      </w:r>
    </w:p>
    <w:p>
      <w:pPr>
        <w:numPr>
          <w:ilvl w:val="0"/>
          <w:numId w:val="1014"/>
        </w:numPr>
        <w:pStyle w:val="Compact"/>
      </w:pPr>
      <w:r>
        <w:rPr>
          <w:bCs/>
          <w:b/>
        </w:rPr>
        <w:t xml:space="preserve">Scope 3 Coverage:</w:t>
      </w:r>
      <w:r>
        <w:t xml:space="preserve"> </w:t>
      </w:r>
      <w:r>
        <w:t xml:space="preserve">While significant Scope 3 categories are covered, a full 95% coverage across all 15 GHG Protocol Scope 3 categories would necessitate additional data on aspects such as capital goods, employee commuting, business travel, etc., which are typically part of a comprehensive corporate GHG inventory rather than a product-specific PCF. This report focuses on the material Scope 3 categories directly attributable to the product\'s lifecycle.</w:t>
      </w:r>
    </w:p>
    <w:p>
      <w:pPr>
        <w:numPr>
          <w:ilvl w:val="0"/>
          <w:numId w:val="1014"/>
        </w:numPr>
        <w:pStyle w:val="Compact"/>
      </w:pPr>
      <w:r>
        <w:rPr>
          <w:bCs/>
          <w:b/>
        </w:rPr>
        <w:t xml:space="preserve">LSR Standard:</w:t>
      </w:r>
      <w:r>
        <w:t xml:space="preserve"> </w:t>
      </w:r>
      <w:r>
        <w:t xml:space="preserve">While the principles of the 2026 LSR Standard were considered, the specific quantification of land use change and removals was not possible without more detailed primary data on the origins of bio-based materials (if any) or specific carbon sequestration projects.</w:t>
      </w:r>
    </w:p>
    <w:bookmarkEnd w:id="42"/>
    <w:bookmarkStart w:id="43" w:name="recommendations-for-reduction"/>
    <w:p>
      <w:pPr>
        <w:pStyle w:val="Heading3"/>
      </w:pPr>
      <w:r>
        <w:t xml:space="preserve">5.3. Recommendations for Reduction</w:t>
      </w:r>
    </w:p>
    <w:p>
      <w:pPr>
        <w:pStyle w:val="FirstParagraph"/>
      </w:pPr>
      <w:r>
        <w:t xml:space="preserve">Based on this analysis, \'oqxzgwhwwx\' should consider the following:</w:t>
      </w:r>
    </w:p>
    <w:p>
      <w:pPr>
        <w:numPr>
          <w:ilvl w:val="0"/>
          <w:numId w:val="1015"/>
        </w:numPr>
        <w:pStyle w:val="Compact"/>
      </w:pPr>
      <w:r>
        <w:rPr>
          <w:bCs/>
          <w:b/>
        </w:rPr>
        <w:t xml:space="preserve">Use Phase Optimization:</w:t>
      </w:r>
      <w:r>
        <w:t xml:space="preserve"> </w:t>
      </w:r>
      <w:r>
        <w:t xml:space="preserve">Invest in R&amp;D to improve the energy efficiency of \'mmruvdypnj\' during its operational lifetime. Explore user education on sustainable product use and encourage sourcing of renewable energy by end-users in Europe.</w:t>
      </w:r>
    </w:p>
    <w:p>
      <w:pPr>
        <w:numPr>
          <w:ilvl w:val="0"/>
          <w:numId w:val="1015"/>
        </w:numPr>
        <w:pStyle w:val="Compact"/>
      </w:pPr>
      <w:r>
        <w:rPr>
          <w:bCs/>
          <w:b/>
        </w:rPr>
        <w:t xml:space="preserve">Manufacturing Decarbonization:</w:t>
      </w:r>
      <w:r>
        <w:t xml:space="preserve"> </w:t>
      </w:r>
      <w:r>
        <w:t xml:space="preserve">Increase renewable energy procurement for the manufacturing facility in China beyond 60%, explore on-site renewable energy generation, and investigate energy efficiency measures within the production processes.</w:t>
      </w:r>
    </w:p>
    <w:p>
      <w:pPr>
        <w:numPr>
          <w:ilvl w:val="0"/>
          <w:numId w:val="1015"/>
        </w:numPr>
        <w:pStyle w:val="Compact"/>
      </w:pPr>
      <w:r>
        <w:rPr>
          <w:bCs/>
          <w:b/>
        </w:rPr>
        <w:t xml:space="preserve">Material Innovations:</w:t>
      </w:r>
      <w:r>
        <w:t xml:space="preserve"> </w:t>
      </w:r>
      <w:r>
        <w:t xml:space="preserve">Research and adopt lower-carbon materials, increase recycled content in the plastic and aluminum components, and optimize material usage to reduce overall product weight.</w:t>
      </w:r>
    </w:p>
    <w:p>
      <w:pPr>
        <w:numPr>
          <w:ilvl w:val="0"/>
          <w:numId w:val="1015"/>
        </w:numPr>
        <w:pStyle w:val="Compact"/>
      </w:pPr>
      <w:r>
        <w:rPr>
          <w:bCs/>
          <w:b/>
        </w:rPr>
        <w:t xml:space="preserve">Circular Economy Integration:</w:t>
      </w:r>
      <w:r>
        <w:t xml:space="preserve"> </w:t>
      </w:r>
      <w:r>
        <w:t xml:space="preserve">Continue to strengthen circular/take-back programs (eoxmyotsdk) to ensure high rates of recycling and material recovery, minimizing waste and maximizing resource efficiency. This could further enhance the positive impact of the End-of-Life stage.</w:t>
      </w:r>
    </w:p>
    <w:p>
      <w:r>
        <w:pict>
          <v:rect style="width:0;height:1.5pt" o:hralign="center" o:hrstd="t" o:hr="t"/>
        </w:pict>
      </w:r>
    </w:p>
    <w:p>
      <w:pPr>
        <w:pStyle w:val="FirstParagraph"/>
      </w:pPr>
      <w:r>
        <w:t xml:space="preserve">Confidential - Internal Use Only | Page</w:t>
      </w:r>
      <w:r>
        <w:t xml:space="preserve"> </w:t>
      </w:r>
    </w:p>
    <w:bookmarkEnd w:id="43"/>
    <w:bookmarkEnd w:id="44"/>
    <w:bookmarkEnd w:id="4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mmruvdypnj</dc:title>
  <dc:creator/>
  <dc:description>Detailed Product Carbon Footprint (PCF) analysis report for product mmruvdypnj by oqxzgwhwwx, following GHG Protocol standards and 2026 LSR updates.</dc:description>
  <dc:language>en</dc:language>
  <cp:keywords/>
  <dcterms:created xsi:type="dcterms:W3CDTF">2026-07-15T09:34:13Z</dcterms:created>
  <dcterms:modified xsi:type="dcterms:W3CDTF">2026-07-15T09:34:13Z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